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C5F69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C5F6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C5F69">
              <w:rPr>
                <w:rFonts w:ascii="Liberation Serif" w:hAnsi="Liberation Serif"/>
                <w:sz w:val="26"/>
                <w:szCs w:val="26"/>
              </w:rPr>
              <w:t>346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885870">
      <w:pPr>
        <w:tabs>
          <w:tab w:val="left" w:pos="1134"/>
        </w:tabs>
        <w:suppressAutoHyphens w:val="0"/>
        <w:autoSpaceDE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</w:t>
      </w:r>
      <w:hyperlink r:id="rId11" w:history="1">
        <w:proofErr w:type="gramStart"/>
        <w:r w:rsidRPr="00885870">
          <w:rPr>
            <w:rFonts w:ascii="Liberation Serif" w:eastAsia="Bookman Old Style" w:hAnsi="Liberation Serif" w:cs="Liberation Serif"/>
            <w:b/>
            <w:color w:val="000000"/>
            <w:kern w:val="3"/>
            <w:sz w:val="26"/>
            <w:szCs w:val="26"/>
            <w:lang w:eastAsia="zh-CN"/>
          </w:rPr>
          <w:t>Порядк</w:t>
        </w:r>
      </w:hyperlink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е</w:t>
      </w:r>
      <w:proofErr w:type="gramEnd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принятия решений о предоставлении субсидий из бюджета </w:t>
      </w:r>
    </w:p>
    <w:p w:rsidR="00885870" w:rsidRDefault="00885870" w:rsidP="00885870">
      <w:pPr>
        <w:tabs>
          <w:tab w:val="left" w:pos="1134"/>
        </w:tabs>
        <w:suppressAutoHyphens w:val="0"/>
        <w:autoSpaceDE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</w:t>
      </w: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ц</w:t>
      </w: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кого</w:t>
      </w:r>
      <w:proofErr w:type="spellEnd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бюджетным и автономным учреждениям округа, муниципальным унитарным предприятиям округа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или на приобретение </w:t>
      </w:r>
    </w:p>
    <w:p w:rsidR="00885870" w:rsidRDefault="00885870" w:rsidP="00885870">
      <w:pPr>
        <w:tabs>
          <w:tab w:val="left" w:pos="1134"/>
        </w:tabs>
        <w:suppressAutoHyphens w:val="0"/>
        <w:autoSpaceDE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объектов недвижимого имущества в муниципальную собственность </w:t>
      </w:r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и пред</w:t>
      </w: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ставления указанных субсидий</w:t>
      </w:r>
    </w:p>
    <w:p w:rsidR="00885870" w:rsidRDefault="00885870" w:rsidP="0088587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85870" w:rsidRDefault="00885870" w:rsidP="0088587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85870" w:rsidRDefault="00885870" w:rsidP="00885870">
      <w:pPr>
        <w:widowControl w:val="0"/>
        <w:autoSpaceDN w:val="0"/>
        <w:ind w:right="585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85870" w:rsidRDefault="00885870" w:rsidP="0088587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соответствии со статьей 78.2. Бюджетного Кодекса Российской Федерации</w:t>
      </w:r>
    </w:p>
    <w:p w:rsidR="00885870" w:rsidRPr="00885870" w:rsidRDefault="00885870" w:rsidP="00885870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885870" w:rsidRPr="00885870" w:rsidRDefault="00885870" w:rsidP="00885870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proofErr w:type="gram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прилагаемый </w:t>
      </w:r>
      <w:hyperlink r:id="rId12" w:history="1">
        <w:r w:rsidRPr="0088587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Порядок</w:t>
        </w:r>
      </w:hyperlink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принятия решений о предоставлении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субсидий из бюджета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бюджетным и автоно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ным учрежд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ниям округа, муниципальным унитарным предприятиям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 на осуществление капитальных вложений в объекты капитального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строительства муниципальной собственности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или на приобретение объектов недвижимого имущества в муниципальную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собственность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и предоставления указанных субсидий.</w:t>
      </w:r>
      <w:proofErr w:type="gramEnd"/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Признать утратившим силу:</w:t>
      </w:r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дминистрации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27 сентября 2018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386 «О </w:t>
      </w:r>
      <w:hyperlink r:id="rId13" w:history="1">
        <w:proofErr w:type="gramStart"/>
        <w:r w:rsidRPr="0088587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Порядк</w:t>
        </w:r>
      </w:hyperlink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proofErr w:type="gram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принятия решений о предоставлении субс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дий из бюджета района бюджетным и автономным учреждениям района, муниц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пальным ун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тарным предприятиям района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или на приобретение объектов недвижимого имущества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муниципальную со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ственность района и предоставления указанных субсидий»;</w:t>
      </w:r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дминистрации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21 апреля 2022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177 «О внесении изменений в постановление администр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ции района от 27 сентября 2018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386 «О </w:t>
      </w:r>
      <w:hyperlink r:id="rId14" w:history="1">
        <w:proofErr w:type="gramStart"/>
        <w:r w:rsidRPr="0088587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Порядк</w:t>
        </w:r>
      </w:hyperlink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proofErr w:type="gram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принятия решений о предоставл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нии субсидий из бюджета района бюджетным и автономным учреждениям района,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муниципальным унитарным предприятиям района на осуществление капитальных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вложений в объекты капитального строительства муниципальной собственности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или на приобретение объектов недвижимого имущества в муниципальную собственность района и предоставления указанных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субсидий»;</w:t>
      </w:r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</w:t>
      </w:r>
      <w:r w:rsidR="00A0229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дминистрации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12 июля 2022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360 «О внесении изменений в постановление администрации района от 27 сентября 2018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386 «О </w:t>
      </w:r>
      <w:hyperlink r:id="rId15" w:history="1">
        <w:proofErr w:type="gramStart"/>
        <w:r w:rsidRPr="0088587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Порядк</w:t>
        </w:r>
      </w:hyperlink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proofErr w:type="gram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принятия решений о предоставл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субсидий из бюджета района бюджетным и автономным учреждениям района, мун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ципальным унитарным предприятиям района на осуществление капитальных влож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ний в объекты капитального строительства муниципальной собственности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или на приобретение объектов недвижимого им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щества в муниципальную собственность района и предоставления указанных субс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дий».</w:t>
      </w:r>
    </w:p>
    <w:p w:rsidR="00885870" w:rsidRPr="00885870" w:rsidRDefault="00885870" w:rsidP="00885870">
      <w:pPr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вступает в силу со дня его подписания, подлежит офиц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альному опубликованию и размещению на официальном сайте </w:t>
      </w:r>
      <w:proofErr w:type="spellStart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8587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пального округа.</w:t>
      </w:r>
    </w:p>
    <w:p w:rsidR="00885870" w:rsidRPr="00885870" w:rsidRDefault="00885870" w:rsidP="00885870">
      <w:pPr>
        <w:widowControl w:val="0"/>
        <w:shd w:val="clear" w:color="auto" w:fill="FFFFFF"/>
        <w:autoSpaceDN w:val="0"/>
        <w:ind w:left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CC55DC" w:rsidRDefault="00CC55DC" w:rsidP="0088587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88587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85870" w:rsidRDefault="00885870" w:rsidP="00885870">
      <w:pPr>
        <w:widowControl w:val="0"/>
        <w:suppressAutoHyphens w:val="0"/>
        <w:autoSpaceDE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УТВЕРЖДЁН</w:t>
      </w:r>
    </w:p>
    <w:p w:rsidR="00885870" w:rsidRDefault="00885870" w:rsidP="00885870">
      <w:pPr>
        <w:widowControl w:val="0"/>
        <w:suppressAutoHyphens w:val="0"/>
        <w:autoSpaceDE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постановлением админ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страции</w:t>
      </w:r>
    </w:p>
    <w:p w:rsidR="00885870" w:rsidRDefault="00885870" w:rsidP="00885870">
      <w:pPr>
        <w:widowControl w:val="0"/>
        <w:suppressAutoHyphens w:val="0"/>
        <w:autoSpaceDE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ного округа</w:t>
      </w:r>
    </w:p>
    <w:p w:rsidR="00885870" w:rsidRDefault="00885870" w:rsidP="00885870">
      <w:pPr>
        <w:widowControl w:val="0"/>
        <w:suppressAutoHyphens w:val="0"/>
        <w:autoSpaceDE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от 16.06.2023 № 1346</w:t>
      </w:r>
    </w:p>
    <w:p w:rsidR="00885870" w:rsidRPr="00885870" w:rsidRDefault="00885870" w:rsidP="00885870">
      <w:pPr>
        <w:widowControl w:val="0"/>
        <w:suppressAutoHyphens w:val="0"/>
        <w:autoSpaceDE w:val="0"/>
        <w:ind w:left="5387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(Приложение)</w:t>
      </w:r>
    </w:p>
    <w:p w:rsidR="00885870" w:rsidRPr="00885870" w:rsidRDefault="00885870" w:rsidP="00885870">
      <w:pPr>
        <w:widowControl w:val="0"/>
        <w:suppressAutoHyphens w:val="0"/>
        <w:autoSpaceDE w:val="0"/>
        <w:ind w:left="6521"/>
        <w:rPr>
          <w:rFonts w:ascii="Liberation Serif" w:hAnsi="Liberation Serif" w:cs="Liberation Serif"/>
          <w:sz w:val="24"/>
          <w:szCs w:val="24"/>
          <w:lang w:eastAsia="zh-CN"/>
        </w:rPr>
      </w:pPr>
    </w:p>
    <w:bookmarkStart w:id="0" w:name="Par28"/>
    <w:bookmarkEnd w:id="0"/>
    <w:p w:rsidR="00840E30" w:rsidRP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fldChar w:fldCharType="begin"/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instrText xml:space="preserve"> HYPERLINK  "#Par28" </w:instrTex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fldChar w:fldCharType="separate"/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Порядок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fldChar w:fldCharType="end"/>
      </w:r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принятия решений о предоставлении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субсидий из бюджета </w:t>
      </w:r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ципального округа бюджетным и автономным учреждениям округа, муниципальным унитарным предприятиям </w:t>
      </w:r>
      <w:proofErr w:type="spell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округа </w:t>
      </w:r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на осуществление капитальных вложений в объекты </w:t>
      </w:r>
      <w:proofErr w:type="gram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капитального</w:t>
      </w:r>
      <w:proofErr w:type="gramEnd"/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строительства муниципальной собственности </w:t>
      </w:r>
      <w:proofErr w:type="spell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или на приобретение объектов недвижимого имущества </w:t>
      </w:r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 муниципальную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собственность </w:t>
      </w:r>
      <w:proofErr w:type="spell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</w:t>
      </w:r>
    </w:p>
    <w:p w:rsidR="00840E30" w:rsidRDefault="00840E3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и предоставления указанных субс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дий</w:t>
      </w:r>
      <w:r w:rsidR="00885870" w:rsidRPr="00840E3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</w:t>
      </w:r>
    </w:p>
    <w:p w:rsidR="00885870" w:rsidRPr="00840E3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(далее - Порядок)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Cs/>
          <w:sz w:val="24"/>
          <w:szCs w:val="24"/>
          <w:lang w:eastAsia="zh-CN"/>
        </w:rPr>
      </w:pPr>
    </w:p>
    <w:p w:rsidR="00885870" w:rsidRPr="00840E3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b/>
          <w:sz w:val="26"/>
          <w:szCs w:val="26"/>
          <w:lang w:eastAsia="zh-CN"/>
        </w:rPr>
        <w:t>1. Основные положения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</w:t>
      </w:r>
      <w:r w:rsidR="00840E3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Настоящий Порядок определяет процедуру принятия решений о предоста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лении субсидий из бюджета округа бюджетным и автономным учреждениям округа (далее - учреждения), муниципальным унитарным предприятиям округа (далее - предприятия) на осуществление капитальных вложений в объекты капитального строительства муниципальной  собственности округа (далее - объекты капитального строительства) или на приобретение объектов недвижимого имущества в муниц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пальную собственность округа (далее -  объекты недвижимого имущества) и пред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ставления указанных субсидий (далее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субсидия).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1" w:name="Par55"/>
      <w:bookmarkEnd w:id="1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Целями предоставления субсидии являются: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1.2.1.</w:t>
      </w:r>
      <w:r w:rsidR="00840E3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строительство (реконструкция, в том числе с элементами реставрации, техническое перевооружение) объектов капитального строительства муниципальной собственности округа (далее - капитальные вложения в объекты капитального стро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тельства);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1.2.2. 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приобретение объектов недвижимого имущества в муниципальную со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ственность округа;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разработка проектной документации на объекты капитального строител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ства или приобретение прав на использование типовой проектной документации, 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формация о которой включена в реестр типовой проектной документации (в отнош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жилых и админ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стративных зданий, объектов социально-культурного и бытового назначения), и проведение инженерных изысканий, выполняемых для подготовки 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кой проектной документации;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1.2.4. 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проведение технологического и ценового аудита инвестиционных прое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тов в отнош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объектов капитального строительства (в случае необходимости);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1.2.5. 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проведение государственной экспертизы проектной документации и р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зультатов 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женерных изысканий;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1.2.6. 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проведение 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проверки достоверности определения сметной стоимости объектов капитального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строительства, финансовое обеспечение строительства (реко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струкции, в том числе с элементами реставрации, технического перевооружения) к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торых планируется ос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ществлять с использованием субсидии.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300" w:lineRule="exact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1.3. 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субсидии учреждению, предприятию осуществляется в рамках реализ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ции основных мероприятий муниципальных программ округа.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1.4.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Подготовка проекта постановления администрации округа о включении субсидии в муниципальную программу округа осуществляется ответственным испо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нителем муниципальной программы (далее — ответственный исполнитель) в соотве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ствии с Порядком ра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работки, реализации и оценки эффективности муниципальных программ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утвержденным постановлением</w:t>
      </w:r>
      <w:r w:rsidR="00A0229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администрации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02 фе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раля 2023 г</w:t>
      </w:r>
      <w:r w:rsidR="00A0229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192, </w:t>
      </w:r>
      <w:r w:rsidR="00A0229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 основании рекомендации Комиссии по  рассмотрению эффективности инвестиц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онных проектов, финансирование которых план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руется осуществлять полностью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или частично за счет средств бюджета округа (далее — К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миссия). Положение о Комисс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ии и ее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состав утверждаются постановлением администрации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округа.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1.5.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субсидий производится с учетом целей и задач развития округа, опр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деленных документами стратегического планирования округа, поручений и указаний Президента Российской Федерации, поручений Правительства Российской Федерации, поручений Губернатора Вологодской области и Правительства Волого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ской области, поручений главы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 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40E30" w:rsidRDefault="00885870" w:rsidP="00840E30">
      <w:pPr>
        <w:widowControl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2. Процедура предоставления бюджетных ассигнований за счет субсидии</w:t>
      </w:r>
    </w:p>
    <w:p w:rsidR="00885870" w:rsidRPr="00840E30" w:rsidRDefault="00885870" w:rsidP="00840E30">
      <w:pPr>
        <w:widowControl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из бюджета округа на осуществление капитальных вложений в объекты капитального строительства или на приобретение объектов недвижимого имущества в муниципальную собственность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2.1.</w:t>
      </w:r>
      <w:bookmarkStart w:id="2" w:name="Par76"/>
      <w:bookmarkEnd w:id="2"/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Учреждение, заинтересованное в предоставлении субсидии, представляет главному распорядителю средств бюджета округа (далее – главный распорядитель), которому как получателю средств бюджета округа доведены лимиты бюджетных об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зательств документы с приложением описи представленных документов в соотве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ствии с перечнем документов, представляемых для получения субсидии, согласно приложению 1 к настоящему Порядку (далее – Перечень).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Предприятие, заинтересованное в предоставлении субсидии, представляет 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администрацию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документы с приложением описи пре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ставленных документов в соответствии с Перечнем. 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3" w:name="Par45"/>
      <w:bookmarkEnd w:id="3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2.2. 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 в течение пяти рабочих дней со дня получения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документов, представленных в соответствии с </w:t>
      </w:r>
      <w:hyperlink w:anchor="Par76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 xml:space="preserve">пунктом 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2.1 настоящего Порядка,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осуществляет проверку документов на предмет соответствия Перечню и 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целям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уст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новленным п.1.2 настоящ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 Порядка.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w:anchor="Par55" w:history="1">
        <w:r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 xml:space="preserve">пунктом </w:t>
        </w:r>
      </w:hyperlink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 настоящего Порядка, главный расп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рядитель в течение трех рабочих дней со дня окончания срока, указанного в </w:t>
      </w:r>
      <w:hyperlink w:anchor="Par78" w:history="1">
        <w:r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абзаце первом</w:t>
        </w:r>
      </w:hyperlink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пункта, возвращает их учреждению, предпр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ятию, письменно уведомляя о причинах во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врата документов.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Учреждение, предприятие вправе повторно направить документы после устр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нения причин возврата документов.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4" w:name="Par81"/>
      <w:bookmarkEnd w:id="4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 предоставлении учреждением, предприятием полного комплекта док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ментов и при соответствии представленных документов требованиям, установле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ным </w:t>
      </w:r>
      <w:hyperlink w:anchor="Par55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пунктом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1.2 настоящего Порядка, главный распорядитель: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2.3.1. 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течение пяти рабочих дней со дня окончания срока, указанного в пункте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2.2 настоящего Порядка, формирует пакет документов, указанных в пункте 2.2 Поря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 проведения проверки инвестиционных проектов, финансирование которых план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руется осущест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лять полностью или частично за счет средств бюджета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предмет эффе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тивности использования направляемых на капитальные вложения средств бюджета округа, и направляет его в управление соц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ально-экономического развития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 администрации округа для проведения пр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верки инвестиционного проекта на предмет эффективности использования направл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емых на капитальные вложения средств бюджета окр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га.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2.3.2. 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если объект капитального строительства является объектом местного значения, в течение 5 (пяти) рабочих дней со дня окончания срока, указа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</w:t>
      </w:r>
      <w:r w:rsidR="00A0229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</w:t>
      </w:r>
      <w:hyperlink w:anchor="Par77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2.2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Порядка, направляет в Управление строительства арх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тектуры, энергетики и ЖКХ администрации 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округа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заверенные специалистом, ос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ществляющим прием и (или) рассмотрение документов, копии документов, указанных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</w:t>
      </w:r>
      <w:hyperlink w:anchor="Par166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6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Перечня, для определения места размещения объекта капитального стро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тельства местного значения документам территориального план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рования округа. 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2.4. 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течение семи рабочих дней со дня получения документов, указанных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пункте 2.3 настоящего Порядка, готовят и направляют главному распорядителю: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Управление социально-экономического развития округа заключение о результ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тах проверки инвестиционного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проекта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предмет эффективности использования направляемых на капитал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ные вложения средств бюджета округа;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Управление строительства, архитектуры, энергетики и жилищно-коммунального хозяйства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администрации округа - заключение о соответствии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места размещения объекта капитального строительства местного значения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документам те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риториального планирования округа в случае, если объект капитального строител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ства является объектом местного значения, подлежащим отображению в этих док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ментах.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2.5. 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 в течение трех рабочих дней со дня получения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заключений от управлений администрации округа, указанных в пункте 2.4 настоящего Порядка, форм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рует пакет документов, указанных в пункте 2.6 настоящего Порядка, и направляет его чл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нам Комиссии для ознакомления.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2.6. 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Пакет документов на заседание Комиссии включает в себя: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паспорт инвестиционного проекта, предусматривающего использование субс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дии на осуществление капитальных вложений, представленный учреждением, пре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приятием в соо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ветствии пунктом 2.1 настоящего Порядка;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заключение о результатах проверки инвестиционного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проекта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предмет э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фективности использования направляемых на капитальные вложения средств бюдж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та округа;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заключение о соответствии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места размещения объекта капитального строител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ства местного значения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документам территориального планирования округа в случае, если объект капитального строительства является объектом местного значения, по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лежащим отображению в этих докуме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тах.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2.7.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Комиссия, руководствуясь представленными в соответствии с </w:t>
      </w:r>
      <w:hyperlink w:anchor="Par87" w:history="1">
        <w:r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пунктом 2.6</w:t>
        </w:r>
      </w:hyperlink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 документами, рекомендует (не рекомендует) предоставление субсидии учр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ждению, предприятию.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2.8.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 положительной рекомендации Комиссии для предоставления субсидии учреждению, предприятию главный распорядитель в течение 3 (трех) рабочих дней после подп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сания протокола членами Комиссии направляет его и пакет документов, указанных в </w:t>
      </w:r>
      <w:hyperlink w:anchor="Par87" w:history="1">
        <w:r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2.6</w:t>
        </w:r>
      </w:hyperlink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Порядка, ответственному исполнителю муниц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пальной программы.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2.9. 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 отрицательной рекомендации Комиссии для предоставления субсидии учреждению, предприятию главный распорядитель в течение 3 (трех) рабочих дней после подп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сания протокола членами Комиссии письменно уведомляет учреждение, предприятие о р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шении Комиссии.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2.10. 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необходимости предоставления субсидии в очередном финанс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вом году при положительной рекомендации Комиссии ответственный исполнитель программы готовит проект постановления администрации округа о включении субс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дии в муниципальные программы округа в соответствии с Порядком разработки, ре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лизации и оценки эффективности муниципальных программ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пального округа, утвержденным постановлением администрации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округа от 02 февраля 2023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192. </w:t>
      </w:r>
      <w:proofErr w:type="gramEnd"/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2.11. 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необходимости предоставления субсидии в текущем финансовом году при положительной рекомендации Комиссии ответственный исполнитель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программы направляет в Управление финансов администрации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 (далее – Управл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ние финансов) предложения о включении бюджетных ассигнований на предоставление субсидии в решение Земского Собрания о бюджете округа на 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кущий финансовый год и плановый период с последующим внесением изменений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м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ниципальную программу округа.</w:t>
      </w:r>
      <w:proofErr w:type="gramEnd"/>
    </w:p>
    <w:p w:rsidR="00885870" w:rsidRPr="00840E30" w:rsidRDefault="00885870" w:rsidP="00840E30">
      <w:pPr>
        <w:widowControl w:val="0"/>
        <w:suppressAutoHyphens w:val="0"/>
        <w:autoSpaceDE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3. Заключение соглашения о предоставлении субсидии учреждению, </w:t>
      </w: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предпри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я</w:t>
      </w: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тию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3.1 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бюджетных ассигнований производится в пределах средств, предусмо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ренных в бюджете округа на соответствующий финансовый год и плановый период.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3.2.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Предоставление субсидии учреждениям, предприятиям осуществляется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соответствии с соглашением о предоставлении субсидии на осуществление кап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тальных вложений, заключаемом между главным распорядителем и учреждением, предприятием по примерной форме согласно приложению 2 к настоящему Порядку.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Выделение бюджетных ассигнований осуществляется путем перечисления средств бюджета округа с лицевого счета главного распорядителя, открытого в упра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лении финансов, на лицевой счет, открытый учреждением (предприятием) в управл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финансов для учета операций по получению и использованию субсидий.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3.4. 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Соглашение о предоставлении субсидии может быть заключено в отнош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нии нескольких объектов капитального строительства муниципальной собственности округа или объектов недвижимого имущества, приобретаемых в муниципальную со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ственность округа.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4. Сроки и порядок представления отчетности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5" w:name="Par107"/>
      <w:bookmarkEnd w:id="5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4.1. 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Учреждение, предприятие представляет главному распорядителю: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ежеквартально до 25 числа месяца, следующего за отчетным периодом, отчет об использовании субсидии по формам, установленным получателем бюджетных средств;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15 января финансового года, следующего за годом предоставления субсидии, отчет о выполнении показателей результативности предоставления субсидий в отн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шении каждого объекта капитального строительства или объекта недвижимого им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щества, которые направлены на 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стижение показателей эффективности реализации муниципальной программы, в рамках которой планируется предоставление субсидии (далее также - показатели результ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тивности).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4.2.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Отчеты об использовании субсидии составляются на 1 число месяца кажд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 ква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тала и нарастающим итогом с начала года.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6" w:name="Par111"/>
      <w:bookmarkEnd w:id="6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непредставления учреждением, предприятием отчетов в сроки, указанные в </w:t>
      </w:r>
      <w:hyperlink w:anchor="Par107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пункте 4.1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Порядка, главный распорядитель запрашивает (электронной почтой или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факсограммой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 у учреждений, предприятий соответству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ю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щие 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четы, которые должны быть представлены в течение 5 (пяти) рабочих дней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со дня п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лучения запроса.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4.4. 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непредставления учреждением, предприятием отчетов в срок, установленный </w:t>
      </w:r>
      <w:hyperlink w:anchor="Par111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пунктом 4.3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Порядка, субсидия подлежит возврату в доход бюджета округа в течение 30 (тридцати) календарных дней после предъявления гла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ным распорядителем 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ответствующих требований на указанный в требовании счет.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непоступления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сре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дств в т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ечение указанного срока главный распор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дитель в срок не более 3 (трех) месяцев со дня истечения срока для возврата средств принимает меры к их взы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канию в судебном порядке.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5. Осуществление </w:t>
      </w:r>
      <w:proofErr w:type="gramStart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контроля за</w:t>
      </w:r>
      <w:proofErr w:type="gramEnd"/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соблюдением условий, целей</w:t>
      </w: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и порядка предоставления субсидий и ответственность за их нарушение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54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5.1. 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распорядитель, управление финансов в пределах своих полном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чий осуществляют проверки соблюдения условий, целей и порядка предоставления субс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дий.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 имеет право проводить проверки соблюдения учрежд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нием, предприятием условий, целей и порядка предоставления субсидий с предвар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тельным пис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менным уведомлением учреждения, предприятия не менее чем за 3 (три) рабочих дня до начала проверки.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7" w:name="Par121"/>
      <w:bookmarkEnd w:id="7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 проводит проверки соблюдения условий, целей и п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рядка предоставления субсидий путем проведения плановых и внеплановых проверок с оформл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нием акта по результатам их проведения.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Уведомления о результатах проверок направляются главным распорядителем учреждению, предприятию не позднее 5 (пяти) рабочих дней со дня завершения пр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верки.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5.2. 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случае нецелевого расходования средств субсидии учреждением, пре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приятием, выявленного по фактам проверок, субсидия подлежит возврату в полном объеме в течение 30 (тридцати) календарных дней со дня получения уведомления, указанного в </w:t>
      </w:r>
      <w:hyperlink w:anchor="Par121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абзаце третьем пункта 5.1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Порядка. В случае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непоступления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сре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дств в т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ечение указанного срока главный расп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5.3. 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нарушения условий и порядка предоставления субсидий,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выявленного по фактам проверок, субсидия подлежит возврату в объеме 10% от су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мы полученной субсидии в течение 30 (тридцати) календарных дней со дня получения уведомления, указанного в </w:t>
      </w:r>
      <w:hyperlink w:anchor="Par121" w:history="1">
        <w:r w:rsidR="00885870" w:rsidRPr="00840E30">
          <w:rPr>
            <w:rFonts w:ascii="Liberation Serif" w:eastAsia="Bookman Old Style" w:hAnsi="Liberation Serif" w:cs="Liberation Serif"/>
            <w:color w:val="000000"/>
            <w:kern w:val="3"/>
            <w:sz w:val="26"/>
            <w:szCs w:val="26"/>
            <w:lang w:eastAsia="zh-CN"/>
          </w:rPr>
          <w:t>абзаце третьем пункта 5.1</w:t>
        </w:r>
      </w:hyperlink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настоящего Порядка. В случае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непоступления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сре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дств в т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ечение указанного срока главный распорядитель в срок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не более 3 (трех) месяцев со дня истечения срока для возврата средств принимает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меры к их взысканию в судебном порядке.</w:t>
      </w:r>
    </w:p>
    <w:p w:rsidR="00885870" w:rsidRPr="00840E30" w:rsidRDefault="00840E3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5.4. 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если выполнение показателя результативности предоставления субсидий составляет менее 100%, субсидия подлежит возврату в бюджет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из расчета 1% от суммы полученной субсидии за каждый процентный пункт </w:t>
      </w:r>
      <w:proofErr w:type="spell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недост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жения</w:t>
      </w:r>
      <w:proofErr w:type="spell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значения </w:t>
      </w:r>
      <w:proofErr w:type="gramStart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процента выполнения показателя результативности предоставления су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сидий</w:t>
      </w:r>
      <w:proofErr w:type="gramEnd"/>
      <w:r w:rsidR="00885870"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Значение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процента выполнения показателя результативности предоставления субсидий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считывается по формуле: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КВ =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ЦП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i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факт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/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ЦПiплан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x 100, где: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КВ - значение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процента выполнения показателя результативности предоставл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су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сидий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ЦП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i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факт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фактическое значение показателя результативности предоставления субсидий;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ЦП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i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план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плановое значение показателя результативности предоставления су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сидий.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Объем субсидии, подлежащий возврату, рассчитывается по формуле: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Свозвр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= ((100 - КВ) x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Сполуч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 / 100, где: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Свозвр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объем субсидии, подлежащий возврату;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КВ - значение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процента выполнения показателя результативности предоставл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су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сидий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Сполуч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объем полученной субсидии.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Решение о возврате субсидии в связи с невыполнением показателей результ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тивности предоставления субсидий принимается главный распорядитель в течение 30 (тридцати) календа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ных дней со дня 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установления факта невыполнения показателя результативности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Главный распорядитель в течение 5 (пяти) рабочих дней со дня принятия реш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о возврате субсидии направляет учреждению, предприятию уведомление с треб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ванием о возврате полученной субсидии (части полученной субсидии). Субсидия по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лежит возврату в течение 30 (тридцати) календарных дней со дня получения уведо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ления.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случае </w:t>
      </w:r>
      <w:proofErr w:type="spell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непоступления</w:t>
      </w:r>
      <w:proofErr w:type="spell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сре</w:t>
      </w:r>
      <w:proofErr w:type="gramStart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дств в т</w:t>
      </w:r>
      <w:proofErr w:type="gramEnd"/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ечение 30 (тридцати) календарных дней </w:t>
      </w:r>
      <w:r w:rsid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со дня получения требования о возврате субсидии (части субсидии) главный распор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Pr="00840E3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885870" w:rsidRPr="00840E30" w:rsidRDefault="00885870" w:rsidP="00840E30">
      <w:pPr>
        <w:widowControl w:val="0"/>
        <w:suppressAutoHyphens w:val="0"/>
        <w:autoSpaceDE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  <w:sectPr w:rsidR="00885870" w:rsidRPr="00885870" w:rsidSect="008858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20" w:footer="397" w:gutter="0"/>
          <w:pgNumType w:start="1"/>
          <w:cols w:space="720"/>
          <w:titlePg/>
          <w:docGrid w:linePitch="293"/>
        </w:sectPr>
      </w:pPr>
    </w:p>
    <w:p w:rsidR="00840E30" w:rsidRPr="00840E30" w:rsidRDefault="00885870" w:rsidP="00840E30">
      <w:pPr>
        <w:widowControl w:val="0"/>
        <w:suppressAutoHyphens w:val="0"/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№ 1 </w:t>
      </w:r>
    </w:p>
    <w:p w:rsidR="00885870" w:rsidRPr="00840E30" w:rsidRDefault="00885870" w:rsidP="00840E30">
      <w:pPr>
        <w:widowControl w:val="0"/>
        <w:suppressAutoHyphens w:val="0"/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к Порядку</w:t>
      </w: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40E30" w:rsidRDefault="00885870" w:rsidP="00840E30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b/>
          <w:sz w:val="26"/>
          <w:szCs w:val="26"/>
          <w:lang w:eastAsia="zh-CN"/>
        </w:rPr>
        <w:t>П</w:t>
      </w:r>
      <w:r w:rsidR="00840E30" w:rsidRPr="00840E3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еречень документов, </w:t>
      </w:r>
    </w:p>
    <w:p w:rsidR="00885870" w:rsidRPr="00840E30" w:rsidRDefault="00840E30" w:rsidP="00840E30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b/>
          <w:sz w:val="26"/>
          <w:szCs w:val="26"/>
          <w:lang w:eastAsia="zh-CN"/>
        </w:rPr>
        <w:t>представляемых для получения субсидий</w:t>
      </w:r>
    </w:p>
    <w:p w:rsidR="00885870" w:rsidRPr="00840E30" w:rsidRDefault="00885870" w:rsidP="00885870">
      <w:pPr>
        <w:widowControl w:val="0"/>
        <w:suppressAutoHyphens w:val="0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1.</w:t>
      </w:r>
      <w:r w:rsidR="00840E30" w:rsidRPr="00840E30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Обращение о предоставлении субсидии с указанием целей, объема бюдже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ных а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сигнований.</w:t>
      </w:r>
    </w:p>
    <w:p w:rsidR="00885870" w:rsidRPr="00840E30" w:rsidRDefault="00840E3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hyperlink r:id="rId22" w:history="1">
        <w:proofErr w:type="gramStart"/>
        <w:r w:rsidR="00885870" w:rsidRPr="00840E30">
          <w:rPr>
            <w:rFonts w:ascii="Liberation Serif" w:hAnsi="Liberation Serif" w:cs="Liberation Serif"/>
            <w:sz w:val="26"/>
            <w:szCs w:val="26"/>
            <w:lang w:eastAsia="zh-CN"/>
          </w:rPr>
          <w:t>Паспорт</w:t>
        </w:r>
      </w:hyperlink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инвестиционного проекта, предусматривающего использование су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б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сидии на осуществление капитальных вложений, заполненный по форме согласно приложению 2 к Порядку проведения проверки инвестиционных проектов, финанс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рование которых планируется ос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у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ществлять полностью или частично за счет средств бюджета округа, на предмет эффективности использования направляемых на кап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тальные вложения средств  бюджета округа, утвержденному постановлением админ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страции </w:t>
      </w:r>
      <w:proofErr w:type="spellStart"/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округа.</w:t>
      </w:r>
      <w:proofErr w:type="gramEnd"/>
    </w:p>
    <w:p w:rsidR="00885870" w:rsidRPr="00840E30" w:rsidRDefault="00A0229C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3. </w:t>
      </w:r>
      <w:hyperlink r:id="rId23" w:history="1">
        <w:proofErr w:type="gramStart"/>
        <w:r w:rsidR="00885870" w:rsidRPr="00840E30">
          <w:rPr>
            <w:rFonts w:ascii="Liberation Serif" w:hAnsi="Liberation Serif" w:cs="Liberation Serif"/>
            <w:sz w:val="26"/>
            <w:szCs w:val="26"/>
            <w:lang w:eastAsia="zh-CN"/>
          </w:rPr>
          <w:t>Обоснование</w:t>
        </w:r>
      </w:hyperlink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эффективности реализации проекта, предусматривающего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использование субсидии на осуществление капитальных вложений, заполненное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по форме согласно приложению 3 к Порядку проведения проверки инвестиционных проектов, финансирование которых планируется осуществлять полностью или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ч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а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стично за счет средств бюджета округа, на предмет эффективности использования направляемых на капитальные вложения средств бюджета округа, утвержденному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постановлением администрации </w:t>
      </w:r>
      <w:proofErr w:type="spellStart"/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м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у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ниципального округа. </w:t>
      </w:r>
      <w:proofErr w:type="gramEnd"/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4.</w:t>
      </w:r>
      <w:r w:rsidR="00A0229C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Копия положительного </w:t>
      </w:r>
      <w:proofErr w:type="gramStart"/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заключения государственной экспертизы проектной документации объекта капитального строительства</w:t>
      </w:r>
      <w:proofErr w:type="gramEnd"/>
      <w:r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 и результатов инженерных изы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каний в случае, если проек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ная документация объекта капитального строительства и результаты инженерных изысканий подлежат государственной экспертизе в соотве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ствии с законодательством Ро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сийской Федерации &lt;*&gt;.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--------------------------------</w:t>
      </w:r>
    </w:p>
    <w:p w:rsidR="0088587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&lt;*&gt; В случае предоставления субсидии на осуществление капитальных влож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ний в объекты капитального строительства.</w:t>
      </w:r>
    </w:p>
    <w:p w:rsidR="00A0229C" w:rsidRPr="00840E30" w:rsidRDefault="00A0229C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5.</w:t>
      </w:r>
      <w:r w:rsidR="00A0229C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Копии правоустанавливающих документов на земельный участок, а в случае их о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сутствия – копии решения о предварительном согласовании места размещения объекта кап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тального строительства или решения о предварительном согласовании предоставления з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мельного участка &lt;*&gt;. 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--------------------------------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&lt;*&gt; В случае предоставления субсидии на осуществление капитальных влож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ний в объекты капитального строительства.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8" w:name="Par166"/>
      <w:bookmarkEnd w:id="8"/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6.</w:t>
      </w:r>
      <w:r w:rsidR="00A0229C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Сведения о месте размещения планируемых объектов капитального стро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тельства местного значения, документам территориального планирования округа (к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пии документов, подтве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р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ждающих данные сведения) &lt;*&gt;. 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--------------------------------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&lt;*&gt; В случае предоставления субсидии на осуществление капитальных влож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ний в объекты капитального строительства.</w:t>
      </w:r>
    </w:p>
    <w:p w:rsidR="00885870" w:rsidRPr="00840E30" w:rsidRDefault="00885870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85870" w:rsidRPr="00840E30" w:rsidRDefault="00A0229C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7. 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Сведения о предполагаемых сроках строительства и обосновании предел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ных объемов денежных средств на выполнение работ на весь период строительства (реконструкции) до ввода объекта в эксплуатацию с разбивкой по годам и с выдел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нием объема инвестиций на подготовку проектной документации.</w:t>
      </w:r>
    </w:p>
    <w:p w:rsidR="00885870" w:rsidRPr="00840E30" w:rsidRDefault="00A0229C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8. </w:t>
      </w:r>
      <w:proofErr w:type="gramStart"/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Расчет стоимости приобретения объекта недвижимого имущества исходя из рыночной стоимости одного квадратного метра недвижимого имущества на соотве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ствующей те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р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ритории округа, где планируется приобретение объекта недвижимого имущества, опред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ленной с учетом цели использования такого имущества по данным организаций, оказыва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ю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щих услуги на рынке купли-продажи недвижимости (не менее 2 организаций), и примерной площади недвижимого имущества, необходимой для приобретения &lt;**&gt;.</w:t>
      </w:r>
      <w:proofErr w:type="gramEnd"/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--------------------------------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&lt;**&gt; В случае предоставления субсидии на приобретение объектов недвиж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мого им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у</w:t>
      </w:r>
      <w:r w:rsidRPr="00840E30">
        <w:rPr>
          <w:rFonts w:ascii="Liberation Serif" w:hAnsi="Liberation Serif" w:cs="Liberation Serif"/>
          <w:sz w:val="26"/>
          <w:szCs w:val="26"/>
          <w:lang w:eastAsia="zh-CN"/>
        </w:rPr>
        <w:t>щества.</w:t>
      </w:r>
    </w:p>
    <w:p w:rsidR="00885870" w:rsidRPr="00840E30" w:rsidRDefault="00885870" w:rsidP="00840E30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85870" w:rsidRPr="00840E30" w:rsidRDefault="00A0229C" w:rsidP="00840E3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9. 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Расчет объема эксплуатационных расходов, необходимых для содержания объекта капитального строительства или объекта недвижимого имущества после вв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да его в эксплу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а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тацию (приобретения), и источники их финансового обеспечения с представлением докуме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н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тов и материалов, обосновывающих указанные расчеты. Для предприятий источником ф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нансового обеспечения эксплуатационных расходов не могут являться средства, предоста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в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ляемые из бюджета округа. Для учреждений объем финансового обеспечения эксплуатационных расходов за счет средств, предоставля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мых из бюджета округа, не может превышать размер соответствующих нормативных затрат, применяемых при расчете субсидии на ф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="00885870" w:rsidRPr="00840E30">
        <w:rPr>
          <w:rFonts w:ascii="Liberation Serif" w:hAnsi="Liberation Serif" w:cs="Liberation Serif"/>
          <w:sz w:val="26"/>
          <w:szCs w:val="26"/>
          <w:lang w:eastAsia="zh-CN"/>
        </w:rPr>
        <w:t xml:space="preserve">нансовое обеспечение выполнения муниципального задания на оказание муниципальных услуг (выполнение работ).  </w:t>
      </w:r>
    </w:p>
    <w:p w:rsidR="00885870" w:rsidRPr="00885870" w:rsidRDefault="00885870" w:rsidP="0088587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  <w:u w:val="single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u w:val="single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0229C" w:rsidRPr="00885870" w:rsidRDefault="00A0229C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0229C" w:rsidRPr="00A0229C" w:rsidRDefault="00885870" w:rsidP="00A0229C">
      <w:pPr>
        <w:widowControl w:val="0"/>
        <w:suppressAutoHyphens w:val="0"/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A0229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№ 2 </w:t>
      </w:r>
    </w:p>
    <w:p w:rsidR="00885870" w:rsidRPr="00A0229C" w:rsidRDefault="00885870" w:rsidP="00A0229C">
      <w:pPr>
        <w:widowControl w:val="0"/>
        <w:suppressAutoHyphens w:val="0"/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A0229C">
        <w:rPr>
          <w:rFonts w:ascii="Liberation Serif" w:hAnsi="Liberation Serif" w:cs="Liberation Serif"/>
          <w:sz w:val="26"/>
          <w:szCs w:val="26"/>
          <w:lang w:eastAsia="zh-CN"/>
        </w:rPr>
        <w:t>к Порядку</w:t>
      </w:r>
    </w:p>
    <w:p w:rsidR="00885870" w:rsidRPr="00885870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A0229C">
        <w:rPr>
          <w:rFonts w:ascii="Liberation Serif" w:hAnsi="Liberation Serif" w:cs="Liberation Serif"/>
          <w:sz w:val="26"/>
          <w:szCs w:val="26"/>
          <w:lang w:eastAsia="zh-CN"/>
        </w:rPr>
        <w:t>Форма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9" w:name="Par661"/>
      <w:bookmarkEnd w:id="9"/>
      <w:r w:rsidRPr="00A0229C">
        <w:rPr>
          <w:rFonts w:ascii="Liberation Serif" w:hAnsi="Liberation Serif" w:cs="Liberation Serif"/>
          <w:b/>
          <w:sz w:val="26"/>
          <w:szCs w:val="26"/>
          <w:lang w:eastAsia="zh-CN"/>
        </w:rPr>
        <w:t>С</w:t>
      </w:r>
      <w:r w:rsidR="00A0229C" w:rsidRPr="00A0229C">
        <w:rPr>
          <w:rFonts w:ascii="Liberation Serif" w:hAnsi="Liberation Serif" w:cs="Liberation Serif"/>
          <w:b/>
          <w:sz w:val="26"/>
          <w:szCs w:val="26"/>
          <w:lang w:eastAsia="zh-CN"/>
        </w:rPr>
        <w:t>оглашение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b/>
          <w:sz w:val="26"/>
          <w:szCs w:val="26"/>
          <w:lang w:eastAsia="zh-CN"/>
        </w:rPr>
        <w:t>о предоставлении субсидии на осуществление капитальных вложений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в объекты капитального строительства или приобретение объектов недвижимого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имущества за счет средств бюджета округа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                             от "__"__________ 20_ года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(далее  - главный распорядитель),  действующий на основании Положения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____________________________________________________________, утвержденного ________________________________________, и    ____________________________________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"_______________________________________" (далее – учреждение, предприятие)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proofErr w:type="gramStart"/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в лице _________________________________________________________________________, действующего на основании __________________, вместе именуемые в дальнейшем "Стор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ны", заключили настоящее Соглашение о нижеследующем:</w:t>
      </w:r>
      <w:proofErr w:type="gramEnd"/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1. Предмет Соглашения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tabs>
          <w:tab w:val="left" w:pos="567"/>
        </w:tabs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bookmarkStart w:id="10" w:name="Par682"/>
      <w:bookmarkEnd w:id="10"/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ab/>
        <w:t>1.1.  Главный распорядитель (Наименование) от  имени округа  предоставляет  учр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ждению, предприятию  бюджетные ассигнования  за  счет  субсидии  из бюджета округа в размере</w:t>
      </w:r>
      <w:proofErr w:type="gramStart"/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____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softHyphen/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softHyphen/>
        <w:t xml:space="preserve">________ (_________________________________________________) </w:t>
      </w:r>
      <w:proofErr w:type="gramEnd"/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рублей в целях: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- ____________________________________________________________________;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- ____________________________________________________________________;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- ____________________________________________________________________.</w:t>
      </w:r>
    </w:p>
    <w:p w:rsidR="00885870" w:rsidRPr="00A0229C" w:rsidRDefault="00885870" w:rsidP="00885870">
      <w:pPr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ind w:left="0" w:firstLine="0"/>
        <w:jc w:val="both"/>
        <w:outlineLvl w:val="0"/>
        <w:rPr>
          <w:rFonts w:ascii="Liberation Serif" w:hAnsi="Liberation Serif" w:cs="Liberation Serif"/>
          <w:sz w:val="24"/>
          <w:szCs w:val="24"/>
          <w:lang w:eastAsia="zh-CN"/>
        </w:rPr>
      </w:pP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(включая  объем  субсидии  с разбивкой по годам в отношении каждого объекта капитальн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го  строительства  или  объекта недвижимого имущества с указанием его  наименования,  мощности,  сроков  строительства  (реконструкции, в том числе   с   элементами   реставр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ции,   технического   перевооружения)  или приобретения, сметную стоимость (предполага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мую (предельную) стоимость) или стоимость  приобретения,  а также общий объем кап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тальных вложений в объект м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ниципальной  собственности  района за счет всех источников финансового обеспечения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,  в том чи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ле объем предоставляемой субсидии (в соответствии с абзацем 3 пункта 4 статьи 78.2 Бюдже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ного кодекса Российской Федерации))</w:t>
      </w:r>
    </w:p>
    <w:p w:rsidR="00885870" w:rsidRPr="00A0229C" w:rsidRDefault="00885870" w:rsidP="00885870">
      <w:pPr>
        <w:widowControl w:val="0"/>
        <w:tabs>
          <w:tab w:val="left" w:pos="567"/>
        </w:tabs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   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ab/>
        <w:t>1.2.  Предоставление субсидии учреждению, предприятию осуществляется в соотве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ствии  со  </w:t>
      </w:r>
      <w:hyperlink r:id="rId24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статьей  78.2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 Бюджетного кодекса Российской Федерации на основ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нии решения о бюджете от _________ N _____ "О бюджете округа на ____ год и пл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новый период ____ и ____ годов".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1.3. Субсидия имеет строго целевое значение и используется учреждением, предпри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я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тием исключительно на цели, указанные в </w:t>
      </w:r>
      <w:hyperlink w:anchor="Par682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пункте 1.1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настоящего Соглаш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1.4. Предоставление бюджетных ассигнований производится в пределах средств, пред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смотренных в бюджете округа на соответствующий финансовый год и план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вый период.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1.5. Предоставление бюджетных ассигнований учреждению, предприятию влечет соо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ствующее увеличение стоимости основных средств, находящихся на праве оперативного управления у учреждения либо на праве оперативного управления или хозяйственного вед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 у предприятия, а также уставного фонда предприятия, основанного на праве хозяйстве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 xml:space="preserve">ного ведения. 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bookmarkStart w:id="11" w:name="Par703"/>
      <w:bookmarkEnd w:id="11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1.6. Субсидия подлежит возврату в доход бюджета округа в случаях: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отсутствия решения главного распорядителя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учреждению, предприятию субсидии на цели, ук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занные в </w:t>
      </w:r>
      <w:hyperlink w:anchor="Par682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пункте 1.1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настоящего Соглаш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ния;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установления по результатам проверок фактов нарушения учреждением, пре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приятием целей, условий и порядка предоставления субсидии, </w:t>
      </w:r>
      <w:proofErr w:type="spell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недостижения</w:t>
      </w:r>
      <w:proofErr w:type="spell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значений показателей 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зультативности предоставления субсидий, определенных соглашением о предоставлении субсидии, в размере, предусмотренном Порядком;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3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 сто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мости;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3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непредставления учреждением, предприятием отчетов об использовании субсидии и выполнении показателей результативности предоставления субсидий в отн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шении каждого объекта капитального строительства или объекта недвижимого имущества в сроки, устано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ленные Поря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ком.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досрочного расторжения Соглашения.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1.7. В случаях, указанных в </w:t>
      </w:r>
      <w:hyperlink w:anchor="Par703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пункте 1.6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Соглашения, субсидии подлежат возврату в 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ход бюджета округа в течение 30 (тридцати) рабочих дней после предъявления главным ра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порядит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лем соответствующих требований на указанный в требовании счет.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В случае </w:t>
      </w:r>
      <w:proofErr w:type="spell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непоступления</w:t>
      </w:r>
      <w:proofErr w:type="spell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сре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дств в т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ечение указанного срока главный распорядитель в срок не более 3 (трех) месяцев со дня истечения срока для возврата средств принимает меры к их взы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канию в судебном порядке.</w:t>
      </w:r>
    </w:p>
    <w:p w:rsidR="00885870" w:rsidRPr="00A0229C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 Обязательства Сторон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2.1. Главный распорядитель обязуется перечислить учреждению, предприятию выд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ленные из бюджета округа средства в размере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________________ (________________) 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рублей в срок _____________________ со дня заключения 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глашения на лицевой счет, открытый учреждением, предприятием в управлении финансов для учета операций по получению и 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пользованию субсидий.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Главный распорядитель осуществляет 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контроль за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целевым использованием средств бюдж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та округа, выделенных учреждению, предприятию за счет субсидии.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Главный распорядитель имеет право проводить проверки соблюдения учреждением, предприятием условий, установленных настоящим Соглашением, с предварительным пис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ь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менным уведомлением учреждения, предприятия не менее чем за 3 дня до дня начала пр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верки.</w:t>
      </w:r>
    </w:p>
    <w:p w:rsidR="00885870" w:rsidRPr="00A0229C" w:rsidRDefault="00885870" w:rsidP="00885870">
      <w:pPr>
        <w:widowControl w:val="0"/>
        <w:suppressAutoHyphens w:val="0"/>
        <w:autoSpaceDE w:val="0"/>
        <w:ind w:left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Учреждение, предприятие обязуются: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2.2.1. Соблюдать при использовании субсидии положения, установленные законод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2.2.2. Направить субсидию на выполнение целей, перечисленных в </w:t>
      </w:r>
      <w:hyperlink w:anchor="Par682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пункте 1.1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насто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я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щего Соглашения.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    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2.2.3. Обеспечить достижение показателей результативности предоставления субсидий в отношении каждого объекта капитального строительства или объекта недвижимого им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щества. Показатели результативности предоставления субсидий направлены на достижение показателей эффективности реализации муниципальной программы «_______________________________», утвержденной постановлением администрации рай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на 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от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_______№_____.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Показатели результативности и сроки их достижения отражаются в приложении 1 к насто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я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щему Соглашению.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>2.2.4. Вложить в строительство (реконструкцию, в том числе с элементами 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ставрации, техническое перевооружение) объекта капитального строительства или приобретение объе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та недвижимого имущества субсидию в объеме, указанном в </w:t>
      </w:r>
      <w:hyperlink w:anchor="Par682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пункте 1.1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Соглашения.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2.2.5. Открыть лицевой счет в управлении финансов для учета операций по п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лучению и 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пользованию субсидий.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2.2.6. Использовать субсидию на осуществление строительства (реконструкции, в том числе с элементами реставрации, технического перевооружения) объекта капитального стр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ительства или приобретение объекта недвижимого имущества с собл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ю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дением положений, установленных законодательством Российской Федерации о ко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трактной системе в сфере закупок товаров, работ, услуг для обеспечения госуда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ственных и муниципальных нужд.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Предусмотреть в договорах, заключенных в целях строительства (реконстру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ции, в том числе с элементами реставрации, технического перевооружения) объекта капитального стр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ительства муниципальной собственности округа или приобретения объекта недвижимого имущества в муниципальную собственность округа, подлежащих 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оплате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за счет предоста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ляемой в соответствии с настоящим Соглашением субсидии, условие о возможности измен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 размера и (или) сроков оплаты и (или) объема работ в случае уменьшения главному ра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порядителю ранее доведенных в уст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новленном порядке лимитов бюджетных обязательств на предоставление субсидии.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2.2.7. </w:t>
      </w:r>
      <w:proofErr w:type="gramStart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Представлять главному распорядителю ежеквартально до 25 числа месяца, сл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дующего за отчетным периодом, отчет об использовании субсидии, предусмотренной </w:t>
      </w:r>
      <w:hyperlink w:anchor="Par682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пун</w:t>
        </w:r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к</w:t>
        </w:r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том 1.1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настоящего Соглашения, по формам, установленным главным распорядителем, и до 15 января финансового года, следующего за годом предоставления субсидии, </w:t>
      </w:r>
      <w:hyperlink w:anchor="Par801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отчет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о выпо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л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нении показателей результативности предоставления субсидий в отношении каждого объе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к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та капитального строительства или объекта недвижимого имущества по форме согласно приложению 2 к</w:t>
      </w:r>
      <w:proofErr w:type="gramEnd"/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настоящему Соглашению с приложением документов, подтверждающих выполнение обязательств учреждения, предприятия.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Предоставлять по запросу главному распорядителю дополнительную информацию, м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териалы, подтверждающие значения достигнутых за отчетный год </w:t>
      </w:r>
      <w:hyperlink w:anchor="Par771" w:history="1">
        <w:r w:rsidRPr="00A0229C">
          <w:rPr>
            <w:rFonts w:ascii="Liberation Serif" w:hAnsi="Liberation Serif" w:cs="Liberation Serif"/>
            <w:sz w:val="24"/>
            <w:szCs w:val="24"/>
            <w:lang w:eastAsia="zh-CN"/>
          </w:rPr>
          <w:t>показателей</w:t>
        </w:r>
      </w:hyperlink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 результати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в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ности предоставления субсидий, указанных в приложении 1 к наст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 xml:space="preserve">ящему Соглашению. 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2.2.8. Представлять представителям главного распорядителя и управлению финансов округа, осуществляющим проверку соблюдения учреждением, предприятием условий, целей и порядка предоставления субсидии, служебное помещение, документы бухгалтерской и ф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нансовой отчетности учреждения, предприятия и иные матер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и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алы по письменному запросу лиц, участвующих в проверке.</w:t>
      </w:r>
    </w:p>
    <w:p w:rsidR="00885870" w:rsidRPr="00A0229C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3. Ответственность Сторон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3.1. Стороны по настоящему Соглашению несут ответственность за неисполнение или ненадлежащее исполнение его условий в соответствии с действующим зак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нодательством.</w:t>
      </w:r>
    </w:p>
    <w:p w:rsidR="00885870" w:rsidRPr="00A0229C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4. Порядок изменения и расторжения Соглашения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4.1. Настоящее Соглашение может быть изменено и/или дополнено Сторонами в период его действия, в том числе в случае уменьшения главному распорядителю р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нее доведенных в установленном порядке лимитов бюджетных обязательств на предоставление субсидии п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у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тем закл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ю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чения дополнительного соглашения.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4.2. Настоящее Соглашение может быть прекращено досрочно по взаимному соглаш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нию Сторон.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5. Заключительные положения</w:t>
      </w:r>
    </w:p>
    <w:p w:rsidR="00885870" w:rsidRPr="00A0229C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5.1. Настоящее Соглашение составлено в двух подлинных экземплярах по одному для ка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ж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дой из Сторон.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>5.2. Настоящее Соглашение действует с момента его заключения и до полного исполн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ния Сторонами обязательств по настоящему Соглашению.</w:t>
      </w:r>
    </w:p>
    <w:p w:rsidR="00885870" w:rsidRPr="00A0229C" w:rsidRDefault="00885870" w:rsidP="00885870">
      <w:pPr>
        <w:widowControl w:val="0"/>
        <w:suppressAutoHyphens w:val="0"/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5.3. Все споры, возникшие между Сторонами в связи с исполнением настоящего С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о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глашения, разрешаются в соответствии с действующим законодательством Российской Ф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е</w:t>
      </w:r>
      <w:r w:rsidRPr="00A0229C">
        <w:rPr>
          <w:rFonts w:ascii="Liberation Serif" w:hAnsi="Liberation Serif" w:cs="Liberation Serif"/>
          <w:sz w:val="24"/>
          <w:szCs w:val="24"/>
          <w:lang w:eastAsia="zh-CN"/>
        </w:rPr>
        <w:t>дерации.</w:t>
      </w:r>
    </w:p>
    <w:p w:rsidR="00885870" w:rsidRPr="00A0229C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6.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2"/>
        <w:gridCol w:w="5182"/>
      </w:tblGrid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 имени главного распорядителя</w:t>
            </w: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 имени учреждения, предприятия</w:t>
            </w: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Начальник</w:t>
            </w: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____________________________________</w:t>
            </w: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_______________________________________</w:t>
            </w: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«___» __________________ 20_____ г.</w:t>
            </w: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«___» __________________ 20_____ г.</w:t>
            </w: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5182" w:type="dxa"/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М.П.</w:t>
            </w:r>
          </w:p>
        </w:tc>
      </w:tr>
    </w:tbl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rPr>
          <w:rFonts w:ascii="Liberation Serif" w:hAnsi="Liberation Serif" w:cs="Liberation Serif"/>
          <w:w w:val="90"/>
          <w:sz w:val="24"/>
          <w:szCs w:val="24"/>
          <w:lang w:eastAsia="zh-CN"/>
        </w:rPr>
        <w:sectPr w:rsidR="00885870" w:rsidRPr="00885870" w:rsidSect="00A0229C">
          <w:footerReference w:type="even" r:id="rId25"/>
          <w:footerReference w:type="default" r:id="rId26"/>
          <w:footerReference w:type="first" r:id="rId27"/>
          <w:pgSz w:w="11906" w:h="16838" w:code="9"/>
          <w:pgMar w:top="1134" w:right="567" w:bottom="1134" w:left="1701" w:header="567" w:footer="0" w:gutter="0"/>
          <w:pgNumType w:start="9"/>
          <w:cols w:space="720"/>
          <w:titlePg/>
          <w:docGrid w:linePitch="293"/>
        </w:sectPr>
      </w:pP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>Приложение № 1</w:t>
      </w: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к Соглашению</w:t>
      </w: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ПОКАЗАТЕЛИ 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РЕЗУЛЬТАТИВНОСТИ ПРЕДОСТАВЛЕНИЯ СУБСИДИИ В ОТНОШЕНИИ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КАЖДОГО ОБЪЕКТА КАПИТАЛЬНОГО СТРОИТЕЛЬСТВА 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ИЛИ ОБЪЕКТА НЕДВИЖИМОГО ИМУЩЕСТВА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855"/>
        <w:gridCol w:w="2231"/>
      </w:tblGrid>
      <w:tr w:rsidR="00885870" w:rsidRPr="00885870" w:rsidTr="00885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показателя резул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ь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тативности предоставления су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б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сидии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Значение показателей результати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ности предоставления субсидии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Срок достижения</w:t>
            </w:r>
          </w:p>
        </w:tc>
      </w:tr>
      <w:tr w:rsidR="00885870" w:rsidRPr="00885870" w:rsidTr="00885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</w:tr>
      <w:tr w:rsidR="00885870" w:rsidRPr="00885870" w:rsidTr="00885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 ____________ _____________________________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(должность уполномоченного лица)           (подпись)            (расшифровка подписи)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"__"________________ 20__ года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Приложение № 2</w:t>
      </w:r>
    </w:p>
    <w:p w:rsidR="00885870" w:rsidRPr="00885870" w:rsidRDefault="00885870" w:rsidP="00885870">
      <w:pPr>
        <w:widowControl w:val="0"/>
        <w:suppressAutoHyphens w:val="0"/>
        <w:autoSpaceDE w:val="0"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к Соглашению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bookmarkStart w:id="12" w:name="Par801"/>
      <w:bookmarkEnd w:id="12"/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ОТЧЕТ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о выполнении показателей результативности предоставления субсидий 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в отношении каждого объекта капитального строительства или объекта</w:t>
      </w:r>
    </w:p>
    <w:p w:rsidR="00885870" w:rsidRPr="00885870" w:rsidRDefault="00885870" w:rsidP="00885870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недвижимого имущества за  __________ 20__ года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943"/>
      </w:tblGrid>
      <w:tr w:rsidR="00885870" w:rsidRPr="00885870" w:rsidTr="0088587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показателя результати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</w:t>
            </w: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ности предоставления субсидии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Значение показателей результативности </w:t>
            </w:r>
          </w:p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предоставления субсидии</w:t>
            </w:r>
          </w:p>
        </w:tc>
      </w:tr>
      <w:tr w:rsidR="00885870" w:rsidRPr="00885870" w:rsidTr="0088587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858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</w:tr>
      <w:tr w:rsidR="00885870" w:rsidRPr="00885870" w:rsidTr="0088587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885870" w:rsidRPr="00885870" w:rsidTr="0088587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70" w:rsidRPr="00885870" w:rsidRDefault="00885870" w:rsidP="00885870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________________________________   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ab/>
        <w:t xml:space="preserve">____________  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ab/>
        <w:t xml:space="preserve"> _________________________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 xml:space="preserve">          (должность уполномоченного лица)    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ab/>
        <w:t xml:space="preserve">       (подпись)      </w:t>
      </w: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ab/>
        <w:t xml:space="preserve">           (расшифровка подписи)</w:t>
      </w:r>
    </w:p>
    <w:p w:rsidR="00885870" w:rsidRPr="00885870" w:rsidRDefault="00885870" w:rsidP="00885870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885870">
        <w:rPr>
          <w:rFonts w:ascii="Liberation Serif" w:hAnsi="Liberation Serif" w:cs="Liberation Serif"/>
          <w:sz w:val="24"/>
          <w:szCs w:val="24"/>
          <w:lang w:eastAsia="zh-CN"/>
        </w:rPr>
        <w:t>"__"_________ 20__ года</w:t>
      </w:r>
    </w:p>
    <w:p w:rsidR="00885870" w:rsidRDefault="00885870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75437" w:rsidRPr="00B75437" w:rsidRDefault="00B75437" w:rsidP="00B6792E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B75437"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t xml:space="preserve"> </w:t>
      </w:r>
    </w:p>
    <w:sectPr w:rsidR="00B75437" w:rsidRPr="00B75437" w:rsidSect="00E51F59">
      <w:headerReference w:type="default" r:id="rId28"/>
      <w:headerReference w:type="first" r:id="rId29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C0" w:rsidRDefault="00FF16C0">
      <w:r>
        <w:separator/>
      </w:r>
    </w:p>
  </w:endnote>
  <w:endnote w:type="continuationSeparator" w:id="0">
    <w:p w:rsidR="00FF16C0" w:rsidRDefault="00FF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Default="0088587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Pr="00840E30" w:rsidRDefault="00885870" w:rsidP="00840E30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Default="008858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C0" w:rsidRDefault="00FF16C0">
      <w:r>
        <w:separator/>
      </w:r>
    </w:p>
  </w:footnote>
  <w:footnote w:type="continuationSeparator" w:id="0">
    <w:p w:rsidR="00FF16C0" w:rsidRDefault="00FF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941605"/>
      <w:docPartObj>
        <w:docPartGallery w:val="Page Numbers (Top of Page)"/>
        <w:docPartUnique/>
      </w:docPartObj>
    </w:sdtPr>
    <w:sdtContent>
      <w:p w:rsidR="00A0229C" w:rsidRDefault="00A0229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229C" w:rsidRDefault="00A0229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04916"/>
      <w:docPartObj>
        <w:docPartGallery w:val="Page Numbers (Top of Page)"/>
        <w:docPartUnique/>
      </w:docPartObj>
    </w:sdtPr>
    <w:sdtContent>
      <w:p w:rsidR="00A0229C" w:rsidRDefault="00A0229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85870" w:rsidRDefault="00885870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6352"/>
      <w:docPartObj>
        <w:docPartGallery w:val="Page Numbers (Top of Page)"/>
        <w:docPartUnique/>
      </w:docPartObj>
    </w:sdtPr>
    <w:sdtContent>
      <w:p w:rsidR="00A0229C" w:rsidRDefault="00A0229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85870" w:rsidRDefault="0088587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7F552C9B"/>
    <w:multiLevelType w:val="multilevel"/>
    <w:tmpl w:val="0186E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1"/>
  </w:num>
  <w:num w:numId="21">
    <w:abstractNumId w:val="2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24"/>
  </w:num>
  <w:num w:numId="2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C5F69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40E30"/>
    <w:rsid w:val="00850CD9"/>
    <w:rsid w:val="0085393D"/>
    <w:rsid w:val="008734FA"/>
    <w:rsid w:val="008744C8"/>
    <w:rsid w:val="00885870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229C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#Par28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#Par28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#Par28" TargetMode="External"/><Relationship Id="rId24" Type="http://schemas.openxmlformats.org/officeDocument/2006/relationships/hyperlink" Target="consultantplus://offline/ref=FCF2B66E0835E80677991D69B776B171BF5341F3ED31CAABD47A1E045D8A396FA8E29D4382721F6BN218F" TargetMode="External"/><Relationship Id="rId5" Type="http://schemas.openxmlformats.org/officeDocument/2006/relationships/settings" Target="settings.xml"/><Relationship Id="rId15" Type="http://schemas.openxmlformats.org/officeDocument/2006/relationships/hyperlink" Target="#Par28" TargetMode="External"/><Relationship Id="rId23" Type="http://schemas.openxmlformats.org/officeDocument/2006/relationships/hyperlink" Target="consultantplus://offline/ref=B45C46E5056D8E8057BE4483109F1E4B68DD9139D30F6B9BA312B6D92F8E0C597DD0D6E63A92B70C33332E261CnAM" TargetMode="External"/><Relationship Id="rId28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#Par28" TargetMode="External"/><Relationship Id="rId22" Type="http://schemas.openxmlformats.org/officeDocument/2006/relationships/hyperlink" Target="consultantplus://offline/ref=B45C46E5056D8E8057BE4483109F1E4B68DD9139D30F6B9BA312B6D92F8E0C597DD0D6E63A92B70C33332E2D1Cn0M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345F-1F90-4BE6-93B0-EB94430F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2023-06-16T13:28:00Z</cp:lastPrinted>
  <dcterms:created xsi:type="dcterms:W3CDTF">2023-06-16T12:59:00Z</dcterms:created>
  <dcterms:modified xsi:type="dcterms:W3CDTF">2023-06-16T13:28:00Z</dcterms:modified>
  <dc:language>ru-RU</dc:language>
</cp:coreProperties>
</file>