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4A010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4F93" w:rsidP="002A100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A100B">
              <w:rPr>
                <w:rFonts w:ascii="Liberation Serif" w:hAnsi="Liberation Serif"/>
                <w:sz w:val="26"/>
                <w:szCs w:val="26"/>
              </w:rPr>
              <w:t>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225B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D4F93">
              <w:rPr>
                <w:rFonts w:ascii="Liberation Serif" w:hAnsi="Liberation Serif"/>
                <w:sz w:val="26"/>
                <w:szCs w:val="26"/>
              </w:rPr>
              <w:t>4</w:t>
            </w:r>
            <w:r w:rsidR="007225B7">
              <w:rPr>
                <w:rFonts w:ascii="Liberation Serif" w:hAnsi="Liberation Serif"/>
                <w:sz w:val="26"/>
                <w:szCs w:val="26"/>
              </w:rPr>
              <w:t>41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A0101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4A010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проведении </w:t>
      </w:r>
      <w:proofErr w:type="gramStart"/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муниципальной</w:t>
      </w:r>
      <w:proofErr w:type="gramEnd"/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межведомственной комплексной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профилактической операции «Подросток»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Pr="00DF6B99" w:rsidRDefault="00DF6B99" w:rsidP="00DF6B99">
      <w:pPr>
        <w:widowControl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целях реализации Федерального закона от 24 июня 1999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120-ФЗ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«Об основах системы профилактики безнадзорности и правонарушений несовершеннолетних», комплексного решения вопросов предупреждения безнадзорности и правонарушений несовершеннолетних, обеспечения их социально-правовой защиты,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распоряжением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Губернатора Вологодской области от 05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июня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2023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г.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№ 3325-р «О проведении областной межведомственной комплексной профилактической операции «Подросток» и Положением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 организации проведения областной межведомственной комплексной</w:t>
      </w:r>
      <w:proofErr w:type="gram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профилактической операции «Подросток», утвержденным постановлением Губернатора области от 6 апреля 2015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 168</w:t>
      </w:r>
    </w:p>
    <w:p w:rsidR="00DF6B99" w:rsidRPr="00DF6B99" w:rsidRDefault="00DF6B99" w:rsidP="00DF6B99">
      <w:pPr>
        <w:widowControl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Провести на территории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с 9 июня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15 октября 2023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межведомственную комплексную профилактическую операцию «Подросток».  </w:t>
      </w:r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План мероприятий, организуемых в рамках муниципальной межведомственной комплексной профилактической операции «Подросток» (прилагается).</w:t>
      </w:r>
    </w:p>
    <w:p w:rsidR="00DF6B99" w:rsidRPr="00DF6B99" w:rsidRDefault="00DF6B99" w:rsidP="00DF6B99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Управлению образования и молодежной политики администрации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(Т.А.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Патракеева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), БУ СО </w:t>
      </w:r>
      <w:proofErr w:type="gram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</w:t>
      </w:r>
      <w:proofErr w:type="gram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«Комплексный центр социального обслуживания населения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района» (Т.В. Кашина),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БУЗ ВО «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Грязовецкая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ЦРБ» (Т.А. Хабарова), Управлению по культуре, спорту и туризму администрации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(Ю.Д. Клименко), отделению занятости населения по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Грязовецкому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округу КУ ВО «Центр занятости населения Вологодской области» (С.А. </w:t>
      </w:r>
      <w:proofErr w:type="gram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Суркова), БПОУ ВО «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Грязовецкий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политехнический техникум» (Н.Н.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Головчак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 во взаимодействии с МО МВД России «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Грязовецкий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» (А.В. Голубка),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Грязовецким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межмуниципальным филиалом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ФКУ УИИ УФСИН России по Вологодской области (С.В.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Болташова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):</w:t>
      </w:r>
      <w:proofErr w:type="gramEnd"/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Представить в комиссию по делам несовершеннолетних и защите их прав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план мероприятий, организуемых органами и учреждениями системы профилактики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 рамках операции «Подросток», в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срок                            до 29 июня 2023 г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Направить итоговую информацию о результатах проведения операции «Подросток» в комиссию по делам несовершеннолетних и защите их прав в срок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до 20 октября 2023 г.</w:t>
      </w:r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proofErr w:type="gram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постановления возложить на заместителя главы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по социальной политике О.И. Крылову.</w:t>
      </w:r>
    </w:p>
    <w:p w:rsidR="00DF6B99" w:rsidRPr="00DF6B99" w:rsidRDefault="00DF6B99" w:rsidP="00DF6B99">
      <w:pPr>
        <w:widowControl w:val="0"/>
        <w:autoSpaceDN w:val="0"/>
        <w:ind w:left="42"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Признать утратившим силу постановление администрации </w:t>
      </w:r>
      <w:proofErr w:type="spellStart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от 24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мая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2022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г. </w:t>
      </w:r>
      <w:r w:rsidRPr="00DF6B9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 235 «О проведении районной межведомственной комплексной операции «Подросток».</w:t>
      </w:r>
    </w:p>
    <w:p w:rsidR="0065553A" w:rsidRPr="0065553A" w:rsidRDefault="0065553A" w:rsidP="00DF6B99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D72C7" w:rsidRPr="00D55E81" w:rsidRDefault="003D72C7" w:rsidP="00D55E81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E51F59" w:rsidRPr="00D55E81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781800" w:rsidRDefault="006A6DB6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Pr="00DF6B99" w:rsidRDefault="00DF6B99" w:rsidP="00DF6B99">
      <w:pPr>
        <w:widowControl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</w:pPr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lastRenderedPageBreak/>
        <w:t>УТВЕРЖДЁН</w:t>
      </w:r>
    </w:p>
    <w:p w:rsidR="00DF6B99" w:rsidRPr="00DF6B99" w:rsidRDefault="00DF6B99" w:rsidP="00DF6B99">
      <w:pPr>
        <w:widowControl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п</w:t>
      </w:r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остановлением администрации</w:t>
      </w:r>
    </w:p>
    <w:p w:rsidR="00DF6B99" w:rsidRPr="00DF6B99" w:rsidRDefault="00DF6B99" w:rsidP="00DF6B99">
      <w:pPr>
        <w:widowControl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</w:pPr>
      <w:proofErr w:type="spellStart"/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Грязовецкого</w:t>
      </w:r>
      <w:proofErr w:type="spellEnd"/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 xml:space="preserve"> муниципального округа</w:t>
      </w:r>
    </w:p>
    <w:p w:rsidR="00DF6B99" w:rsidRPr="00DF6B99" w:rsidRDefault="00DF6B99" w:rsidP="00DF6B99">
      <w:pPr>
        <w:widowControl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о</w:t>
      </w:r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т 26.06.2023 № 1441</w:t>
      </w:r>
    </w:p>
    <w:p w:rsidR="00DF6B99" w:rsidRPr="00DF6B99" w:rsidRDefault="00DF6B99" w:rsidP="00DF6B99">
      <w:pPr>
        <w:widowControl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</w:pPr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>(Приложение)</w:t>
      </w:r>
      <w:r w:rsidRPr="00DF6B99">
        <w:rPr>
          <w:rFonts w:ascii="Liberation Serif" w:eastAsia="Andale Sans UI" w:hAnsi="Liberation Serif" w:cs="Liberation Serif"/>
          <w:kern w:val="3"/>
          <w:sz w:val="26"/>
          <w:szCs w:val="26"/>
          <w:lang w:eastAsia="en-US" w:bidi="en-US"/>
        </w:rPr>
        <w:t xml:space="preserve"> </w:t>
      </w:r>
    </w:p>
    <w:p w:rsidR="00DF6B99" w:rsidRPr="00DF6B99" w:rsidRDefault="00DF6B99" w:rsidP="00DF6B99">
      <w:pPr>
        <w:widowControl w:val="0"/>
        <w:autoSpaceDN w:val="0"/>
        <w:ind w:left="-776"/>
        <w:jc w:val="right"/>
        <w:textAlignment w:val="baseline"/>
        <w:rPr>
          <w:rFonts w:eastAsia="Bookman Old Style"/>
          <w:kern w:val="3"/>
          <w:sz w:val="28"/>
          <w:szCs w:val="28"/>
          <w:lang w:eastAsia="en-US" w:bidi="en-US"/>
        </w:rPr>
      </w:pPr>
      <w:r w:rsidRPr="00DF6B99">
        <w:rPr>
          <w:rFonts w:eastAsia="Bookman Old Style"/>
          <w:kern w:val="3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en-US" w:bidi="en-US"/>
        </w:rPr>
      </w:pPr>
      <w:r w:rsidRPr="00DF6B9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en-US" w:bidi="en-US"/>
        </w:rPr>
        <w:t>К</w:t>
      </w:r>
      <w:r w:rsidRPr="00DF6B9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en-US" w:bidi="en-US"/>
        </w:rPr>
        <w:t>алендарный план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</w:pPr>
      <w:r w:rsidRPr="00DF6B99"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  <w:t xml:space="preserve">мероприятий, основного этапа </w:t>
      </w:r>
      <w:proofErr w:type="gramStart"/>
      <w:r w:rsidRPr="00DF6B99"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  <w:t>муниципальной</w:t>
      </w:r>
      <w:proofErr w:type="gramEnd"/>
      <w:r w:rsidRPr="00DF6B99"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  <w:t xml:space="preserve"> межведомственной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</w:pPr>
      <w:r w:rsidRPr="00DF6B99">
        <w:rPr>
          <w:rFonts w:ascii="Liberation Serif" w:eastAsia="Andale Sans UI" w:hAnsi="Liberation Serif" w:cs="Liberation Serif"/>
          <w:b/>
          <w:bCs/>
          <w:kern w:val="3"/>
          <w:sz w:val="26"/>
          <w:szCs w:val="26"/>
          <w:lang w:eastAsia="en-US" w:bidi="en-US"/>
        </w:rPr>
        <w:t>комплексной операции «Подросток»</w:t>
      </w:r>
    </w:p>
    <w:p w:rsidR="00DF6B99" w:rsidRPr="00DF6B99" w:rsidRDefault="00DF6B99" w:rsidP="00DF6B99">
      <w:pPr>
        <w:widowControl w:val="0"/>
        <w:autoSpaceDN w:val="0"/>
        <w:jc w:val="center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693"/>
      </w:tblGrid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Bookman Old Style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Bookman Old Style" w:hAnsi="Liberation Serif" w:cs="Liberation Serif"/>
                <w:kern w:val="3"/>
                <w:sz w:val="24"/>
                <w:szCs w:val="24"/>
                <w:lang w:val="en-US" w:eastAsia="en-US" w:bidi="en-US"/>
              </w:rPr>
              <w:t>№</w:t>
            </w:r>
          </w:p>
          <w:p w:rsidR="00DF6B99" w:rsidRPr="00DF6B99" w:rsidRDefault="00DF6B99" w:rsidP="00DF6B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Этап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мероприятий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Сроки</w:t>
            </w:r>
            <w:proofErr w:type="spellEnd"/>
          </w:p>
        </w:tc>
      </w:tr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ind w:left="-180" w:firstLine="18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«Беспризорник» - выявление несовершеннолетних, находящихся в трудной жизненной ситуации, нуждающихся в помощи со стороны государства, оказание им комплексной социально-правовой, медицинской и психологической помощи. Выявление причин, способствующих совершению несовершеннолетними самовольных уходов из семьи, государственных учреждений, осуществляющих отдельные функции по профилактике безнадзорности и правонарушений несовершеннолетних, принятие мер по их устранению.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9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- 1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8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июня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202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3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</w:tr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ind w:left="-180" w:firstLine="18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 xml:space="preserve">«Здоровье» - организация и проведение мероприятий по пропаганде здорового образа жизни, предупреждению распространения алкоголизма, наркомании, токсикомании среди несовершеннолетних, выявление и постановка на профилактический учет подростков, употребляющих спиртные напитки, наркотические средства и другие одурманивающие вещества, оказание им необходимой  социально-психологической и лечебной помощи, формирование здорового образа жизни.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19 – 30 июня 2023 года</w:t>
            </w:r>
          </w:p>
        </w:tc>
      </w:tr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3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«Лето» - организация отдыха и оздоровления детей, в том числе несовершеннолетних, состоящих на учете в органах внутренних дел, комиссиях по делам несовершеннолетних и защите их прав, детей из семей, находящихся в трудной жизненной ситуации; предупреждение их противоправного поведения, предотвращение нарушений общественного порядка во время проведения массовых мероприятий в оздоровительных детских лагерях. Обеспечение организации временного трудоустройства несовершеннолетних от 14 до 18 лет в период летних каникул, прежде всего лиц из числа состоящих на учете в органах внутренних дел, комиссиях по делам несовершеннолетних и защите их прав и других социально незащищенных категорий несовершеннолетних.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9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июня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– 31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августа</w:t>
            </w:r>
            <w:proofErr w:type="spellEnd"/>
          </w:p>
          <w:p w:rsidR="00DF6B99" w:rsidRPr="00DF6B99" w:rsidRDefault="00DF6B99" w:rsidP="00DF6B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202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3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</w:tr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 xml:space="preserve">«Семья» - выявление неблагополучных семей и фактов ненадлежащего исполнения родителями или иными законными представителями несовершеннолетних своих обязанностей по воспитанию несовершеннолетних, выявление и пресечение фактов жестокого обращения с детьми, вовлечения несовершеннолетних в преступную 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lastRenderedPageBreak/>
              <w:t>деятельность.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bookmarkStart w:id="0" w:name="_GoBack"/>
            <w:bookmarkEnd w:id="0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lastRenderedPageBreak/>
              <w:t>9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-31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августа</w:t>
            </w:r>
            <w:proofErr w:type="spellEnd"/>
          </w:p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202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3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</w:tr>
      <w:tr w:rsidR="00DF6B99" w:rsidRPr="00DF6B99" w:rsidTr="00DF6B9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 xml:space="preserve">«Школа» - выявление и учет несовершеннолетних, не приступивших к занятиям в образовательных учреждениях по неуважительным причинам, принятие мер по возвращению их в образовательные учреждения. Проведение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профориентационной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 xml:space="preserve"> работы среди неработающих  несовершеннолетних в целях направления в учреждения начального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B99" w:rsidRPr="00DF6B99" w:rsidRDefault="00DF6B99" w:rsidP="00DF6B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</w:pP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31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августа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– 15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октября</w:t>
            </w:r>
            <w:proofErr w:type="spellEnd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202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en-US" w:bidi="en-US"/>
              </w:rPr>
              <w:t>3</w:t>
            </w:r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F6B99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</w:tr>
    </w:tbl>
    <w:p w:rsidR="00DF6B99" w:rsidRPr="00DF6B99" w:rsidRDefault="00DF6B99" w:rsidP="00DF6B99">
      <w:pPr>
        <w:widowControl w:val="0"/>
        <w:suppressAutoHyphens w:val="0"/>
        <w:autoSpaceDN w:val="0"/>
        <w:textAlignment w:val="baseline"/>
        <w:rPr>
          <w:rFonts w:eastAsia="Andale Sans UI"/>
          <w:kern w:val="3"/>
          <w:sz w:val="24"/>
          <w:szCs w:val="24"/>
          <w:lang w:val="en-US" w:eastAsia="en-US" w:bidi="en-US"/>
        </w:rPr>
      </w:pPr>
    </w:p>
    <w:p w:rsidR="00DF6B99" w:rsidRPr="00DF6B99" w:rsidRDefault="00DF6B99" w:rsidP="00DF6B99">
      <w:pPr>
        <w:widowControl w:val="0"/>
        <w:suppressAutoHyphens w:val="0"/>
        <w:autoSpaceDN w:val="0"/>
        <w:textAlignment w:val="baseline"/>
        <w:rPr>
          <w:rFonts w:eastAsia="Andale Sans UI"/>
          <w:kern w:val="3"/>
          <w:sz w:val="24"/>
          <w:szCs w:val="24"/>
          <w:lang w:val="en-US" w:eastAsia="en-US" w:bidi="en-US"/>
        </w:rPr>
      </w:pPr>
    </w:p>
    <w:p w:rsidR="00DF6B99" w:rsidRPr="00DF6B99" w:rsidRDefault="00DF6B99" w:rsidP="00DF6B99">
      <w:pPr>
        <w:widowControl w:val="0"/>
        <w:suppressAutoHyphens w:val="0"/>
        <w:autoSpaceDN w:val="0"/>
        <w:textAlignment w:val="baseline"/>
        <w:rPr>
          <w:rFonts w:eastAsia="Andale Sans UI"/>
          <w:kern w:val="3"/>
          <w:sz w:val="24"/>
          <w:szCs w:val="24"/>
          <w:lang w:val="en-US" w:eastAsia="en-US" w:bidi="en-US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F6B99" w:rsidRDefault="00DF6B9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DF6B99" w:rsidSect="00DF6B9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0C" w:rsidRDefault="0087470C">
      <w:r>
        <w:separator/>
      </w:r>
    </w:p>
  </w:endnote>
  <w:endnote w:type="continuationSeparator" w:id="0">
    <w:p w:rsidR="0087470C" w:rsidRDefault="008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0C" w:rsidRDefault="0087470C">
      <w:r>
        <w:separator/>
      </w:r>
    </w:p>
  </w:footnote>
  <w:footnote w:type="continuationSeparator" w:id="0">
    <w:p w:rsidR="0087470C" w:rsidRDefault="0087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B99">
          <w:rPr>
            <w:noProof/>
          </w:rPr>
          <w:t>4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7C7DF1"/>
    <w:multiLevelType w:val="multilevel"/>
    <w:tmpl w:val="A7D63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1015B9"/>
    <w:multiLevelType w:val="multilevel"/>
    <w:tmpl w:val="0419001F"/>
    <w:numStyleLink w:val="8"/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7"/>
  </w:num>
  <w:num w:numId="18">
    <w:abstractNumId w:val="6"/>
  </w:num>
  <w:num w:numId="19">
    <w:abstractNumId w:val="11"/>
  </w:num>
  <w:num w:numId="20">
    <w:abstractNumId w:val="1"/>
  </w:num>
  <w:num w:numId="21">
    <w:abstractNumId w:val="2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4"/>
  </w:num>
  <w:num w:numId="2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41CA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4C04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A100B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2C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A0101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B604A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53A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225B7"/>
    <w:rsid w:val="0073770C"/>
    <w:rsid w:val="0075010C"/>
    <w:rsid w:val="0075305F"/>
    <w:rsid w:val="007543DC"/>
    <w:rsid w:val="00756301"/>
    <w:rsid w:val="00762BFF"/>
    <w:rsid w:val="007701A5"/>
    <w:rsid w:val="00771099"/>
    <w:rsid w:val="007716F4"/>
    <w:rsid w:val="00772C13"/>
    <w:rsid w:val="00774547"/>
    <w:rsid w:val="00776AC9"/>
    <w:rsid w:val="00781800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238A2"/>
    <w:rsid w:val="00836981"/>
    <w:rsid w:val="00840D41"/>
    <w:rsid w:val="00850CD9"/>
    <w:rsid w:val="0085393D"/>
    <w:rsid w:val="008734FA"/>
    <w:rsid w:val="008744C8"/>
    <w:rsid w:val="0087470C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5DC6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A4FB6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0575"/>
    <w:rsid w:val="00A314E9"/>
    <w:rsid w:val="00A3353B"/>
    <w:rsid w:val="00A339FD"/>
    <w:rsid w:val="00A56CB2"/>
    <w:rsid w:val="00A630E2"/>
    <w:rsid w:val="00A72F46"/>
    <w:rsid w:val="00A74BA9"/>
    <w:rsid w:val="00A848D5"/>
    <w:rsid w:val="00A937CE"/>
    <w:rsid w:val="00AB460B"/>
    <w:rsid w:val="00AB79A3"/>
    <w:rsid w:val="00AC78C7"/>
    <w:rsid w:val="00AD0F3C"/>
    <w:rsid w:val="00AD68EB"/>
    <w:rsid w:val="00AE27A1"/>
    <w:rsid w:val="00AE2C24"/>
    <w:rsid w:val="00AF13E7"/>
    <w:rsid w:val="00B0535F"/>
    <w:rsid w:val="00B057F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565DC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D4F93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085D"/>
    <w:rsid w:val="00D42B0A"/>
    <w:rsid w:val="00D43479"/>
    <w:rsid w:val="00D55E8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6B99"/>
    <w:rsid w:val="00DF7A6D"/>
    <w:rsid w:val="00E06F1B"/>
    <w:rsid w:val="00E10563"/>
    <w:rsid w:val="00E27DEF"/>
    <w:rsid w:val="00E459A8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1498C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05C4-9B99-465E-8AFD-520C1AD2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2023-06-27T06:29:00Z</cp:lastPrinted>
  <dcterms:created xsi:type="dcterms:W3CDTF">2023-06-27T05:06:00Z</dcterms:created>
  <dcterms:modified xsi:type="dcterms:W3CDTF">2023-06-27T06:29:00Z</dcterms:modified>
  <dc:language>ru-RU</dc:language>
</cp:coreProperties>
</file>