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E5294" w:rsidP="00D64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12326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A6DFB">
              <w:rPr>
                <w:rFonts w:ascii="Liberation Serif" w:hAnsi="Liberation Serif"/>
                <w:sz w:val="26"/>
                <w:szCs w:val="26"/>
              </w:rPr>
              <w:t>3</w:t>
            </w:r>
            <w:r w:rsidR="009E5294">
              <w:rPr>
                <w:rFonts w:ascii="Liberation Serif" w:hAnsi="Liberation Serif"/>
                <w:sz w:val="26"/>
                <w:szCs w:val="26"/>
              </w:rPr>
              <w:t>12</w:t>
            </w:r>
            <w:r w:rsidR="00123264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D12310" w:rsidRPr="0089058F" w:rsidRDefault="001A2C7A" w:rsidP="0089058F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913CCE" w:rsidRDefault="00913CCE" w:rsidP="00913C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13CCE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</w:t>
      </w:r>
    </w:p>
    <w:p w:rsidR="00913CCE" w:rsidRPr="00913CCE" w:rsidRDefault="00913CCE" w:rsidP="00913CC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13CCE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на 20</w:t>
      </w: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24 год</w:t>
      </w:r>
    </w:p>
    <w:p w:rsidR="00913CCE" w:rsidRDefault="00913CCE" w:rsidP="00913CCE">
      <w:pPr>
        <w:widowControl w:val="0"/>
        <w:autoSpaceDN w:val="0"/>
        <w:ind w:right="585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13CCE" w:rsidRPr="00913CCE" w:rsidRDefault="00913CCE" w:rsidP="00913CCE">
      <w:pPr>
        <w:widowControl w:val="0"/>
        <w:autoSpaceDN w:val="0"/>
        <w:ind w:right="585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соответствии с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Федеральными законами от 06.10.2003 № 131-ФЗ «Об общих принципах организации местного самоуправления в Российской Федерации»,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от 31.07.2020 № 248-ФЗ «О государственном контроле (надзоре) и муниципальном контроле в Российской Федерации», от 14.03.1995 № 33-ФЗ «Об особо охраняемых природных территориях», постановлением Правительства Российской Федерации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от 25.06.2021 № 990 «Об утверждении Правил разработки и утверждения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ценностям»</w:t>
      </w:r>
    </w:p>
    <w:p w:rsidR="00913CCE" w:rsidRPr="00913CCE" w:rsidRDefault="00913CCE" w:rsidP="00913CC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913CCE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913CCE" w:rsidRPr="00913CCE" w:rsidRDefault="00913CCE" w:rsidP="00913C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Утвердить Программу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на 2024 года согласно приложению к настоящему постановлению (прилагается).</w:t>
      </w:r>
    </w:p>
    <w:p w:rsidR="00913CCE" w:rsidRPr="00913CCE" w:rsidRDefault="00913CCE" w:rsidP="00913CC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вступает в силу с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0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.01.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2024.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подлежит официальному опубликованию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размещению на официальном сайте Грязовецкого муниципального района. 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4. 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Контроль за исполнением постановления возложить на начальника отдела природных ресурсов и охраны окружающей среды администрации Грязовецкого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</w:t>
      </w:r>
      <w:r w:rsidRP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Холодилову Надежду Александровну</w:t>
      </w:r>
    </w:p>
    <w:p w:rsidR="0046665A" w:rsidRPr="0089058F" w:rsidRDefault="0046665A" w:rsidP="0089058F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3D5E" w:rsidRPr="0089058F" w:rsidRDefault="00923D5E" w:rsidP="0089058F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3D5E" w:rsidRPr="0089058F" w:rsidRDefault="00923D5E" w:rsidP="0089058F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13CCE" w:rsidRDefault="0089058F" w:rsidP="0089058F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</w:t>
      </w:r>
      <w:r w:rsidR="00913CC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Фёкличев</w:t>
      </w:r>
    </w:p>
    <w:p w:rsidR="0089058F" w:rsidRDefault="0089058F" w:rsidP="0089058F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br w:type="page"/>
      </w:r>
    </w:p>
    <w:p w:rsidR="0089058F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УТВЕРЖДЕНА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от 13.12.2023 № 312</w:t>
      </w:r>
      <w:r w:rsidR="00913CCE">
        <w:rPr>
          <w:rFonts w:ascii="Liberation Serif" w:hAnsi="Liberation Serif" w:cs="Liberation Serif"/>
          <w:sz w:val="26"/>
          <w:szCs w:val="26"/>
          <w:lang w:eastAsia="zh-CN"/>
        </w:rPr>
        <w:t>1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(Приложение)</w:t>
      </w:r>
    </w:p>
    <w:p w:rsidR="003C4683" w:rsidRPr="0053363D" w:rsidRDefault="003C4683" w:rsidP="0089058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13CCE" w:rsidRPr="00913CCE" w:rsidRDefault="00913CCE" w:rsidP="00913CCE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b/>
          <w:bCs/>
          <w:kern w:val="3"/>
          <w:sz w:val="26"/>
          <w:szCs w:val="26"/>
          <w:lang w:bidi="hi-IN"/>
        </w:rPr>
        <w:t xml:space="preserve">Программа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на 2024 год </w:t>
      </w:r>
    </w:p>
    <w:p w:rsidR="00913CCE" w:rsidRPr="00913CCE" w:rsidRDefault="00913CCE" w:rsidP="00913CCE">
      <w:pPr>
        <w:autoSpaceDN w:val="0"/>
        <w:ind w:firstLine="85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  <w:lang w:bidi="hi-IN"/>
        </w:rPr>
      </w:pPr>
    </w:p>
    <w:p w:rsidR="00913CCE" w:rsidRPr="00913CCE" w:rsidRDefault="00913CCE" w:rsidP="00913CCE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b/>
          <w:bCs/>
          <w:kern w:val="3"/>
          <w:sz w:val="26"/>
          <w:szCs w:val="26"/>
          <w:lang w:bidi="hi-IN"/>
        </w:rPr>
        <w:t>Общие положения.</w:t>
      </w:r>
    </w:p>
    <w:p w:rsidR="00913CCE" w:rsidRPr="00913CCE" w:rsidRDefault="00913CCE" w:rsidP="00913CCE">
      <w:pPr>
        <w:autoSpaceDN w:val="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  <w:lang w:bidi="hi-IN"/>
        </w:rPr>
      </w:pPr>
    </w:p>
    <w:p w:rsidR="00913CCE" w:rsidRPr="00913CCE" w:rsidRDefault="00913CCE" w:rsidP="00913CCE">
      <w:pPr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color w:val="010101"/>
          <w:kern w:val="3"/>
          <w:sz w:val="26"/>
          <w:szCs w:val="26"/>
          <w:lang w:bidi="hi-IN"/>
        </w:rPr>
        <w:t xml:space="preserve">Программа профилактики рисков причинения вреда (ущерба) охраняемым законом ценностям </w:t>
      </w:r>
      <w:r w:rsidRPr="00913CC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(далее-Программа профилактики)</w:t>
      </w:r>
      <w:r w:rsidRPr="00913CCE">
        <w:rPr>
          <w:rFonts w:ascii="Liberation Serif" w:hAnsi="Liberation Serif" w:cs="Liberation Serif"/>
          <w:color w:val="010101"/>
          <w:kern w:val="3"/>
          <w:sz w:val="26"/>
          <w:szCs w:val="26"/>
          <w:lang w:bidi="hi-IN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13CCE" w:rsidRPr="00913CCE" w:rsidRDefault="00913CCE" w:rsidP="00913CCE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SimSun" w:hAnsi="Liberation Serif" w:cs="Liberation Serif"/>
          <w:b/>
          <w:bCs/>
          <w:color w:val="010101"/>
          <w:kern w:val="3"/>
          <w:sz w:val="26"/>
          <w:szCs w:val="26"/>
          <w:lang w:val="en-US" w:eastAsia="ar-SA" w:bidi="hi-IN"/>
        </w:rPr>
        <w:t>I</w:t>
      </w:r>
      <w:r w:rsidRPr="00913CCE">
        <w:rPr>
          <w:rFonts w:ascii="Liberation Serif" w:eastAsia="SimSun" w:hAnsi="Liberation Serif" w:cs="Liberation Serif"/>
          <w:b/>
          <w:bCs/>
          <w:color w:val="010101"/>
          <w:kern w:val="3"/>
          <w:sz w:val="26"/>
          <w:szCs w:val="26"/>
          <w:lang w:eastAsia="ar-SA" w:bidi="hi-IN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913CCE" w:rsidRPr="00913CCE" w:rsidRDefault="00913CCE" w:rsidP="00913CCE">
      <w:pPr>
        <w:autoSpaceDN w:val="0"/>
        <w:ind w:firstLine="850"/>
        <w:jc w:val="both"/>
        <w:rPr>
          <w:rFonts w:ascii="Liberation Serif" w:hAnsi="Liberation Serif" w:cs="Liberation Serif"/>
          <w:kern w:val="3"/>
          <w:sz w:val="26"/>
          <w:szCs w:val="26"/>
          <w:lang w:bidi="hi-IN"/>
        </w:rPr>
      </w:pPr>
    </w:p>
    <w:p w:rsidR="00913CCE" w:rsidRPr="00913CCE" w:rsidRDefault="00913CCE" w:rsidP="00913CCE">
      <w:pPr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kern w:val="3"/>
          <w:sz w:val="26"/>
          <w:szCs w:val="26"/>
          <w:lang w:bidi="hi-IN"/>
        </w:rPr>
        <w:t>Муниципальный контроль в области охраны и использования особо охраняемых природных территорий местного значения Грязовецкого муниципального округа Вологодской области направлен на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 марта 1995 г. № 33-ФЗ «Об особо охраняемых природных территориях», другими федеральными законами и принимаемыми в соответствии</w:t>
      </w:r>
      <w:r>
        <w:rPr>
          <w:rFonts w:ascii="Liberation Serif" w:hAnsi="Liberation Serif" w:cs="Liberation Serif"/>
          <w:kern w:val="3"/>
          <w:sz w:val="26"/>
          <w:szCs w:val="26"/>
          <w:lang w:bidi="hi-IN"/>
        </w:rPr>
        <w:t xml:space="preserve">                  </w:t>
      </w:r>
      <w:r w:rsidRPr="00913CCE">
        <w:rPr>
          <w:rFonts w:ascii="Liberation Serif" w:hAnsi="Liberation Serif" w:cs="Liberation Serif"/>
          <w:kern w:val="3"/>
          <w:sz w:val="26"/>
          <w:szCs w:val="26"/>
          <w:lang w:bidi="hi-IN"/>
        </w:rPr>
        <w:t xml:space="preserve">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913CCE" w:rsidRPr="00913CCE" w:rsidRDefault="00913CCE" w:rsidP="00913CCE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ab/>
        <w:t>режима особо охраняемой природной территории;</w:t>
      </w:r>
    </w:p>
    <w:p w:rsidR="00913CCE" w:rsidRPr="00913CCE" w:rsidRDefault="00913CCE" w:rsidP="00913CCE">
      <w:pPr>
        <w:widowControl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ab/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       </w:t>
      </w:r>
      <w:r w:rsidRPr="00913CC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в границах особо охраняемых природных территорий;</w:t>
      </w:r>
    </w:p>
    <w:p w:rsidR="00913CCE" w:rsidRPr="00913CCE" w:rsidRDefault="00913CCE" w:rsidP="00913CCE">
      <w:pPr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kern w:val="3"/>
          <w:sz w:val="26"/>
          <w:szCs w:val="26"/>
          <w:lang w:bidi="hi-IN"/>
        </w:rPr>
        <w:tab/>
        <w:t>режима охранных зон особо охраняемых природных территорий.</w:t>
      </w:r>
    </w:p>
    <w:p w:rsidR="00913CCE" w:rsidRPr="00913CCE" w:rsidRDefault="00913CCE" w:rsidP="00913CCE">
      <w:pPr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kern w:val="3"/>
          <w:sz w:val="26"/>
          <w:szCs w:val="26"/>
          <w:lang w:bidi="hi-IN"/>
        </w:rPr>
        <w:lastRenderedPageBreak/>
        <w:tab/>
        <w:t xml:space="preserve">Муниципальный контроль в области охраны и использования особо охраняемых природных территорий местного значения Грязовецкого муниципального округа Вологодской области осуществляется администрацией Грязовецкого муниципального округа в лице отдела природных ресурсов и охраны окружающей среды администрации Грязовецкого муниципального округа  (далее — орган контрольно-надзорной деятельности) в отношении особо охраняемых природных местного значения Грязовецкого муниципального округа Вологодской области. </w:t>
      </w:r>
    </w:p>
    <w:p w:rsidR="00913CCE" w:rsidRPr="00913CCE" w:rsidRDefault="00913CCE" w:rsidP="00913CCE">
      <w:pPr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hAnsi="Liberation Serif" w:cs="Liberation Serif"/>
          <w:kern w:val="3"/>
          <w:sz w:val="26"/>
          <w:szCs w:val="26"/>
          <w:lang w:bidi="hi-IN"/>
        </w:rPr>
        <w:tab/>
        <w:t>На территории Грязовецкого муниципального округа расположено 8 особо охраняемых природных территорий местного значения Грязовецкого муниципального округа: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1. 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охраняемая природная территория местного значения природный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резерват «Ермолинское болото» 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2. 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охраняемая природная территория местного значения природный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резерват «Никольское» 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3. 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охраняемая природная территория местного значения туристско-рекреационная местность «Тювенька» Грязовецкого муниципального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4. 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Особо охраняемая природная территория местного значения туристско-рекреационная местность «Корнильево» Грязовецкого муниципального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5. 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Особо охраняемая природная территория местного значения природно-культурная местность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lastRenderedPageBreak/>
        <w:t>«Источник прп. Корнилия Комельского»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6. 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Особо охраняемая природная территория местного значения природно-культурная местность «Введения Пресвятой Богородицы Корнильево-Комельский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монастырь»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7. 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охраняемая природная территория местного значения природно-культурная местность «Источник в честь иконы Пресвятой Богородицы Троеручица»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8. 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охраняемая природная территория местного значения туристско-рекреационная местность «Круча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 xml:space="preserve">Субъектами контроля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t xml:space="preserve">в области </w:t>
      </w:r>
      <w:r w:rsidRPr="00913CCE">
        <w:rPr>
          <w:rFonts w:ascii="Liberation Serif" w:hAnsi="Liberation Serif" w:cs="Liberation Serif"/>
          <w:color w:val="000000"/>
          <w:kern w:val="3"/>
          <w:sz w:val="26"/>
          <w:szCs w:val="26"/>
        </w:rPr>
        <w:t>охраны и использования особо охраняемых природных территорий местного значения Грязовецкого муниципального округа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           </w:t>
      </w:r>
      <w:r w:rsidRPr="00913CCE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 Вологодской области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t>являются: физические лица, юридические лица и индивидуальные предприниматели.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tab/>
        <w:t>Проведение профилактических мероприятий, направленных на соблюдение подконтрольными субъектами обязательных требований, установленных муниципальными правовыми актами,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tab/>
        <w:t xml:space="preserve">В целях профилактики рисков причинения вреда (ущерба) охраняемым законом ценностям на официальном сайта в сети Интернет Грязовецкого муниципального округа </w:t>
      </w:r>
      <w:hyperlink r:id="rId9" w:history="1"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  <w:lang w:val="en-US"/>
          </w:rPr>
          <w:t>www</w:t>
        </w:r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.35gryazovetskij.g</w:t>
        </w:r>
        <w:bookmarkStart w:id="1" w:name="_Hlt145076374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o</w:t>
        </w:r>
        <w:bookmarkEnd w:id="1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s</w:t>
        </w:r>
        <w:bookmarkStart w:id="2" w:name="_Hlt145076356"/>
        <w:bookmarkStart w:id="3" w:name="_Hlt145076357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u</w:t>
        </w:r>
        <w:bookmarkEnd w:id="2"/>
        <w:bookmarkEnd w:id="3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sl</w:t>
        </w:r>
        <w:bookmarkStart w:id="4" w:name="_Hlt145076380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u</w:t>
        </w:r>
        <w:bookmarkEnd w:id="4"/>
        <w:r w:rsidRPr="00913CCE">
          <w:rPr>
            <w:rFonts w:ascii="Liberation Serif" w:eastAsia="Bookman Old Style" w:hAnsi="Liberation Serif" w:cs="Liberation Serif"/>
            <w:color w:val="0000FF"/>
            <w:kern w:val="3"/>
            <w:sz w:val="26"/>
            <w:szCs w:val="26"/>
            <w:u w:val="single"/>
          </w:rPr>
          <w:t>gi.ru</w:t>
        </w:r>
      </w:hyperlink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t xml:space="preserve">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</w:rPr>
        <w:lastRenderedPageBreak/>
        <w:t xml:space="preserve">размещен Перечень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в области охраны и использования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особо охраняемых природных территорий местного значения Грязовецкого муниципального округа Вологодской области.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16"/>
          <w:szCs w:val="16"/>
          <w:lang w:eastAsia="ar-SA"/>
        </w:rPr>
      </w:pPr>
    </w:p>
    <w:p w:rsid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val="en-US" w:eastAsia="ar-SA"/>
        </w:rPr>
        <w:t>II</w:t>
      </w:r>
      <w:r w:rsidRPr="00913CCE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ar-SA"/>
        </w:rPr>
        <w:t xml:space="preserve">. Цели и задачи реализации программы </w:t>
      </w: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ar-SA"/>
        </w:rPr>
        <w:t>профилактики рисков причинения вреда.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b/>
          <w:bCs/>
          <w:color w:val="000000"/>
          <w:kern w:val="3"/>
          <w:sz w:val="16"/>
          <w:szCs w:val="16"/>
          <w:lang w:eastAsia="ar-SA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Цели реализации программы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области:</w:t>
      </w:r>
    </w:p>
    <w:p w:rsidR="00913CCE" w:rsidRPr="00913CCE" w:rsidRDefault="00913CCE" w:rsidP="00722613">
      <w:pPr>
        <w:widowControl w:val="0"/>
        <w:numPr>
          <w:ilvl w:val="0"/>
          <w:numId w:val="26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913CCE" w:rsidRPr="00913CCE" w:rsidRDefault="00913CCE" w:rsidP="00722613">
      <w:pPr>
        <w:widowControl w:val="0"/>
        <w:numPr>
          <w:ilvl w:val="0"/>
          <w:numId w:val="26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CCE" w:rsidRPr="00913CCE" w:rsidRDefault="00913CCE" w:rsidP="00722613">
      <w:pPr>
        <w:widowControl w:val="0"/>
        <w:numPr>
          <w:ilvl w:val="0"/>
          <w:numId w:val="26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CCE" w:rsidRPr="00913CCE" w:rsidRDefault="00913CCE" w:rsidP="00913CCE">
      <w:pPr>
        <w:widowControl w:val="0"/>
        <w:suppressAutoHyphens w:val="0"/>
        <w:autoSpaceDN w:val="0"/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Задачи реализации Программы:</w:t>
      </w:r>
    </w:p>
    <w:p w:rsidR="00913CCE" w:rsidRPr="00913CCE" w:rsidRDefault="00913CCE" w:rsidP="00722613">
      <w:pPr>
        <w:widowControl w:val="0"/>
        <w:numPr>
          <w:ilvl w:val="0"/>
          <w:numId w:val="27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выявление причин, факторов и условий, способствующих нарушению обязательных требований в области охраны и использования особо охраняемых природных территорий, определение способов устранения или снижения рисков их возникновения;</w:t>
      </w:r>
    </w:p>
    <w:p w:rsidR="00913CCE" w:rsidRPr="00913CCE" w:rsidRDefault="00913CCE" w:rsidP="00722613">
      <w:pPr>
        <w:widowControl w:val="0"/>
        <w:numPr>
          <w:ilvl w:val="0"/>
          <w:numId w:val="27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установление зависимости видов, форм и интенсивности профилактических мероприятий от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lastRenderedPageBreak/>
        <w:t>особенностей конкретных подконтрольных субъектов, и проведение профилактических мероприятий с учетом данных факторов.</w:t>
      </w:r>
    </w:p>
    <w:p w:rsidR="00913CCE" w:rsidRPr="00913CCE" w:rsidRDefault="00913CCE" w:rsidP="00722613">
      <w:pPr>
        <w:widowControl w:val="0"/>
        <w:numPr>
          <w:ilvl w:val="0"/>
          <w:numId w:val="27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формирование единого понимания обязательных требований в области охраны и использования особо охраняемых природных территорий у всех участников контрольной деятельности;</w:t>
      </w:r>
    </w:p>
    <w:p w:rsidR="00913CCE" w:rsidRPr="00913CCE" w:rsidRDefault="00913CCE" w:rsidP="00722613">
      <w:pPr>
        <w:widowControl w:val="0"/>
        <w:numPr>
          <w:ilvl w:val="0"/>
          <w:numId w:val="27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повышение прозрачности осуществляемой </w:t>
      </w:r>
      <w:r w:rsidR="005B125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а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дминистрацией Грязовецкого </w:t>
      </w:r>
      <w:r w:rsidR="005B125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муниципального округа контрольной деятельности; </w:t>
      </w:r>
    </w:p>
    <w:p w:rsidR="00913CCE" w:rsidRPr="00913CCE" w:rsidRDefault="00913CCE" w:rsidP="00722613">
      <w:pPr>
        <w:widowControl w:val="0"/>
        <w:numPr>
          <w:ilvl w:val="0"/>
          <w:numId w:val="27"/>
        </w:numPr>
        <w:suppressAutoHyphens w:val="0"/>
        <w:autoSpaceDN w:val="0"/>
        <w:ind w:left="0" w:firstLine="426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охраны и использования особо охраняемых природных территорий и необходимых мерах по их исполнению. 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16"/>
          <w:szCs w:val="16"/>
          <w:lang w:eastAsia="ar-SA"/>
        </w:rPr>
      </w:pPr>
    </w:p>
    <w:p w:rsid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  <w:t xml:space="preserve">III. Перечень профилактических мероприятий, </w:t>
      </w: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  <w:t>сроки (периодичность) их проведения.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16"/>
          <w:szCs w:val="16"/>
          <w:lang w:eastAsia="ar-SA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При осуществлении муниципального контроля орган контрольно-надзорной деятельности проводит следующие виды профилактических мероприятий: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1) информирование;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2) объявление предостережения;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3) консультирование.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>Мероприятия Программы представляют собой комплекс мер, направленных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                 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 xml:space="preserve"> на достижение целей и решение основных задач Программы.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16"/>
          <w:szCs w:val="16"/>
          <w:lang w:eastAsia="ar-SA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  <w:t>Перечень мероприятий Программы, сроки (периодичность) их проведения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>.</w:t>
      </w: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4253"/>
        <w:gridCol w:w="1417"/>
        <w:gridCol w:w="1843"/>
      </w:tblGrid>
      <w:tr w:rsidR="00913CCE" w:rsidRPr="00913CCE" w:rsidTr="00051E0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№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Ответственный исполнитель</w:t>
            </w:r>
          </w:p>
        </w:tc>
      </w:tr>
      <w:tr w:rsidR="00913CCE" w:rsidRPr="00913CCE" w:rsidTr="00051E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Информирование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 xml:space="preserve">Орган контрольно-надзорной деятельности </w:t>
            </w: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Грязовецкого муниципального округа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 xml:space="preserve">Отдел природных ресурсов и </w:t>
            </w: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охраны окружающей среды администрации Грязовецкого муниципального округа</w:t>
            </w:r>
          </w:p>
        </w:tc>
      </w:tr>
      <w:tr w:rsidR="00913CCE" w:rsidRPr="00913CCE" w:rsidTr="00051E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Объявление предостережения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Орган контрольно-надзорной деятельности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Контролируемое лицо в течение десяти рабочих дней со дня получения предостережения вправе подать в орган контрольно-надзорной деятельности возражение в отношении предостережения.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Орган контрольно-надзорной деятельности рассматривает возражение в отношении предостережения в течение пятнадцати рабочих дней со дня его получения.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По результатам рассмотрения возражения орган контрольно-надзорной деятельности принимает одно из следующих решений: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1) удовлетворяет возражение в форме отмены предостережения;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2) отказывает в удовлетворении возражения с указанием причины отказа.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Орган контрольно-надзорной деятельности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По мере поступления сведений о готовящихся нарушениях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Отдел природных ресурсов и охраны окружающей среды администрации Грязовецкого муниципального округа</w:t>
            </w:r>
          </w:p>
        </w:tc>
      </w:tr>
      <w:tr w:rsidR="00913CCE" w:rsidRPr="00913CCE" w:rsidTr="00051E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Консультирование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 xml:space="preserve">Консультирование осуществляется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посредством размещения на официальном сайте письменного </w:t>
            </w: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разъяснения по однотипным обращениям (более 1однотипных обращений) контролируемых лиц и их представителей, подписанного уполномоченным должностным лицом органа контрольно-надзорной деятельности по вопросам, связанным с организацией и осуществлением муниципального контроля: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1) порядка проведения контрольных мероприятий;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2) периодичности проведения контрольных мероприятий;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3) порядка принятия решений по итогам контрольных мероприятий;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4) порядка обжалования решений органа контрольно-надзорной деятельности.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Индивидуальное консультирование на личном приеме каждого заявителя специалистами не может превышать 10 минут. Время разговора по телефону не должно превышать 10 минут.</w:t>
            </w:r>
          </w:p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>Письменное консультирование контролируемых лиц и их представителей осуществляется по порядку обжалования решений органа контрольно-надзорной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CE" w:rsidRPr="00913CCE" w:rsidRDefault="00913CCE" w:rsidP="00913CCE">
            <w:pPr>
              <w:widowControl w:val="0"/>
              <w:suppressAutoHyphens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t xml:space="preserve">Отдел природных ресурсов и охраны окружающей среды администрации Грязовецкого муниципального </w:t>
            </w:r>
            <w:r w:rsidRPr="00913CCE">
              <w:rPr>
                <w:rFonts w:ascii="Liberation Serif" w:eastAsia="Bookman Old Style" w:hAnsi="Liberation Serif" w:cs="Liberation Serif"/>
                <w:color w:val="000000"/>
                <w:kern w:val="3"/>
                <w:sz w:val="22"/>
                <w:szCs w:val="22"/>
                <w:lang w:eastAsia="ar-SA"/>
              </w:rPr>
              <w:lastRenderedPageBreak/>
              <w:t>округа</w:t>
            </w:r>
          </w:p>
        </w:tc>
      </w:tr>
    </w:tbl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16"/>
          <w:szCs w:val="16"/>
          <w:lang w:eastAsia="ar-SA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ar-SA"/>
        </w:rPr>
        <w:t>IV. Показатели результативности и эффективности программы профилактики рисков причинения вреда.</w:t>
      </w:r>
    </w:p>
    <w:p w:rsidR="00913CCE" w:rsidRPr="00913CCE" w:rsidRDefault="00913CCE" w:rsidP="00913CCE">
      <w:pPr>
        <w:widowControl w:val="0"/>
        <w:suppressAutoHyphens w:val="0"/>
        <w:autoSpaceDN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16"/>
          <w:szCs w:val="16"/>
          <w:lang w:eastAsia="ar-SA"/>
        </w:rPr>
      </w:pP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>Показатели Программы профилактики рисков причинения вреда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 в области охраны и использования особо охраняемых природных территорий местного значения Грязовецкого муниципального округа Вологодской области, включая устранение причин, факторов и условий, способствующих возможному нарушению обязательных требований муниципальных правовых актов, а именно: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>Доля устраненных нарушений из числа выявленных нарушений обязательных требований от общего числа выявленных нарушений при проведении кон</w:t>
      </w: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lastRenderedPageBreak/>
        <w:t>трольного мероприятия в отношении подконтрольных объектов — 70 %. Показатель рассчитывается как процентное соотношение количества устраненных нарушений, выявленных в ходе проведения контрольных мероприятий, от общего числа нарушений.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>Доля отмененных результатов контрольных мероприятий от общего количества контрольных мероприятий — 0%. Показатель рассчитывается как процентное соотношение количества отмененных результатов контрольных мероприятий от общего контрольных мероприятий.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 xml:space="preserve">Количество проведенных профилактических мероприятий в форме информирования и консультирования контролируемых лиц и их представителей. </w:t>
      </w:r>
    </w:p>
    <w:p w:rsidR="00913CCE" w:rsidRPr="00913CCE" w:rsidRDefault="00913CCE" w:rsidP="00913CCE">
      <w:pPr>
        <w:widowControl w:val="0"/>
        <w:suppressAutoHyphens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13C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ar-SA"/>
        </w:rPr>
        <w:tab/>
        <w:t>Количество рейдовых мероприятий.</w:t>
      </w:r>
    </w:p>
    <w:p w:rsidR="00852562" w:rsidRPr="00913CCE" w:rsidRDefault="00852562" w:rsidP="00913CC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852562" w:rsidRPr="00913CCE" w:rsidSect="003C4683">
      <w:headerReference w:type="default" r:id="rId10"/>
      <w:headerReference w:type="first" r:id="rId11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D8" w:rsidRDefault="008E3BD8">
      <w:r>
        <w:separator/>
      </w:r>
    </w:p>
  </w:endnote>
  <w:endnote w:type="continuationSeparator" w:id="0">
    <w:p w:rsidR="008E3BD8" w:rsidRDefault="008E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D8" w:rsidRDefault="008E3BD8">
      <w:r>
        <w:separator/>
      </w:r>
    </w:p>
  </w:footnote>
  <w:footnote w:type="continuationSeparator" w:id="0">
    <w:p w:rsidR="008E3BD8" w:rsidRDefault="008E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EA">
          <w:rPr>
            <w:noProof/>
          </w:rPr>
          <w:t>4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B5F0A35"/>
    <w:multiLevelType w:val="multilevel"/>
    <w:tmpl w:val="8CDAFC38"/>
    <w:lvl w:ilvl="0">
      <w:numFmt w:val="bullet"/>
      <w:lvlText w:val=""/>
      <w:lvlJc w:val="left"/>
      <w:pPr>
        <w:ind w:left="1352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12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072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432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792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152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12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872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232" w:hanging="360"/>
      </w:pPr>
      <w:rPr>
        <w:rFonts w:ascii="OpenSymbol" w:hAnsi="OpenSymbol" w:cs="OpenSymbol"/>
      </w:rPr>
    </w:lvl>
  </w:abstractNum>
  <w:abstractNum w:abstractNumId="2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76D5B6E"/>
    <w:multiLevelType w:val="multilevel"/>
    <w:tmpl w:val="CB54E1E2"/>
    <w:lvl w:ilvl="0">
      <w:numFmt w:val="bullet"/>
      <w:lvlText w:val=""/>
      <w:lvlJc w:val="left"/>
      <w:pPr>
        <w:ind w:left="1352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12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072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432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792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152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12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872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232" w:hanging="360"/>
      </w:pPr>
      <w:rPr>
        <w:rFonts w:ascii="OpenSymbol" w:hAnsi="OpenSymbol" w:cs="OpenSymbol"/>
      </w:rPr>
    </w:lvl>
  </w:abstractNum>
  <w:abstractNum w:abstractNumId="2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7"/>
  </w:num>
  <w:num w:numId="5">
    <w:abstractNumId w:val="24"/>
  </w:num>
  <w:num w:numId="6">
    <w:abstractNumId w:val="18"/>
  </w:num>
  <w:num w:numId="7">
    <w:abstractNumId w:val="22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21"/>
  </w:num>
  <w:num w:numId="15">
    <w:abstractNumId w:val="23"/>
  </w:num>
  <w:num w:numId="16">
    <w:abstractNumId w:val="4"/>
  </w:num>
  <w:num w:numId="17">
    <w:abstractNumId w:val="15"/>
  </w:num>
  <w:num w:numId="18">
    <w:abstractNumId w:val="19"/>
  </w:num>
  <w:num w:numId="19">
    <w:abstractNumId w:val="27"/>
  </w:num>
  <w:num w:numId="20">
    <w:abstractNumId w:val="9"/>
  </w:num>
  <w:num w:numId="21">
    <w:abstractNumId w:val="5"/>
  </w:num>
  <w:num w:numId="22">
    <w:abstractNumId w:val="16"/>
  </w:num>
  <w:num w:numId="23">
    <w:abstractNumId w:val="13"/>
  </w:num>
  <w:num w:numId="24">
    <w:abstractNumId w:val="25"/>
  </w:num>
  <w:num w:numId="25">
    <w:abstractNumId w:val="6"/>
  </w:num>
  <w:num w:numId="26">
    <w:abstractNumId w:val="26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25D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2B57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3264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0C5E"/>
    <w:rsid w:val="00175D1C"/>
    <w:rsid w:val="001773C0"/>
    <w:rsid w:val="001809D8"/>
    <w:rsid w:val="00181546"/>
    <w:rsid w:val="0018171B"/>
    <w:rsid w:val="001819E0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2604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4683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6665A"/>
    <w:rsid w:val="004706FC"/>
    <w:rsid w:val="00470967"/>
    <w:rsid w:val="00471748"/>
    <w:rsid w:val="00472DDD"/>
    <w:rsid w:val="004745FA"/>
    <w:rsid w:val="00474C42"/>
    <w:rsid w:val="00476BF5"/>
    <w:rsid w:val="00477F8A"/>
    <w:rsid w:val="00492A52"/>
    <w:rsid w:val="00492DDC"/>
    <w:rsid w:val="00494AB3"/>
    <w:rsid w:val="0049552B"/>
    <w:rsid w:val="004A1E88"/>
    <w:rsid w:val="004A48E2"/>
    <w:rsid w:val="004A5843"/>
    <w:rsid w:val="004A5E9B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1257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5A19"/>
    <w:rsid w:val="005E6ABB"/>
    <w:rsid w:val="005F23E1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21FEE"/>
    <w:rsid w:val="007223D2"/>
    <w:rsid w:val="00722613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12CC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5AEA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36"/>
    <w:rsid w:val="008744C8"/>
    <w:rsid w:val="00877818"/>
    <w:rsid w:val="008801C9"/>
    <w:rsid w:val="00880713"/>
    <w:rsid w:val="00884E09"/>
    <w:rsid w:val="00885D63"/>
    <w:rsid w:val="00886410"/>
    <w:rsid w:val="008878C4"/>
    <w:rsid w:val="0089058F"/>
    <w:rsid w:val="00892062"/>
    <w:rsid w:val="00895ACF"/>
    <w:rsid w:val="00895EA7"/>
    <w:rsid w:val="008965EB"/>
    <w:rsid w:val="008970BF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BD8"/>
    <w:rsid w:val="008E3E51"/>
    <w:rsid w:val="008F2E23"/>
    <w:rsid w:val="008F6D42"/>
    <w:rsid w:val="00901C70"/>
    <w:rsid w:val="00904375"/>
    <w:rsid w:val="00905B5C"/>
    <w:rsid w:val="0090653B"/>
    <w:rsid w:val="00913CCE"/>
    <w:rsid w:val="00915983"/>
    <w:rsid w:val="00916633"/>
    <w:rsid w:val="00916F99"/>
    <w:rsid w:val="00917460"/>
    <w:rsid w:val="00923D5E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5294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3A2A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6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0310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12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310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4230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530C"/>
    <w:rsid w:val="00E5663A"/>
    <w:rsid w:val="00E568C0"/>
    <w:rsid w:val="00E57F08"/>
    <w:rsid w:val="00E60751"/>
    <w:rsid w:val="00E60DE4"/>
    <w:rsid w:val="00E64344"/>
    <w:rsid w:val="00E66C1A"/>
    <w:rsid w:val="00E67455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6692A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856A-5B45-4557-BA59-36CD88D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35gryazovet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9569-FF5C-409F-A96A-5AB3F8F3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Елена  Морева</cp:lastModifiedBy>
  <cp:revision>2</cp:revision>
  <cp:lastPrinted>2023-12-13T08:53:00Z</cp:lastPrinted>
  <dcterms:created xsi:type="dcterms:W3CDTF">2025-01-21T11:11:00Z</dcterms:created>
  <dcterms:modified xsi:type="dcterms:W3CDTF">2025-01-21T11:11:00Z</dcterms:modified>
  <dc:language>ru-RU</dc:language>
</cp:coreProperties>
</file>