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8A39E1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29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F0734C">
              <w:rPr>
                <w:rFonts w:ascii="Liberation Serif" w:hAnsi="Liberation Serif"/>
                <w:sz w:val="26"/>
                <w:szCs w:val="26"/>
              </w:rPr>
              <w:t>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3D4D9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519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65E8E" w:rsidRPr="00C65E8E" w:rsidRDefault="00FF0763" w:rsidP="00FF0763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F07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Об утверждении Комплекса мер по развитию кадрового потенциала </w:t>
      </w:r>
    </w:p>
    <w:p w:rsidR="00FF0763" w:rsidRPr="00FF0763" w:rsidRDefault="00FF0763" w:rsidP="00FF0763">
      <w:pPr>
        <w:widowControl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F07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FF07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07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2024-2026 годы</w:t>
      </w:r>
    </w:p>
    <w:p w:rsidR="00FF0763" w:rsidRDefault="00FF0763" w:rsidP="00FF0763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F0763" w:rsidRPr="00FF0763" w:rsidRDefault="00FF0763" w:rsidP="00FF0763">
      <w:pPr>
        <w:widowControl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FF0763" w:rsidRPr="00FF0763" w:rsidRDefault="00FF0763" w:rsidP="006929A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целью определения основных направлений кадровой политики </w:t>
      </w:r>
      <w:r w:rsidR="006929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округе, эффективного взаимодействия администрации округа с предприятиями и учреждениями округа по обеспечению квалифицированными кадрами, обобщения имеющегося опыта и создания стимулирующих мер по закреплению кадров в округе</w:t>
      </w:r>
    </w:p>
    <w:p w:rsidR="00FF0763" w:rsidRPr="00FF0763" w:rsidRDefault="00FF0763" w:rsidP="006929AC">
      <w:pPr>
        <w:widowControl w:val="0"/>
        <w:autoSpaceDE w:val="0"/>
        <w:snapToGrid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FF0763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FF0763" w:rsidRPr="00FF0763" w:rsidRDefault="00FF0763" w:rsidP="006929A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1. Утвердить Комплекс мер по развитию кадрового потенциала в </w:t>
      </w:r>
      <w:proofErr w:type="spellStart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2024-2026 годы (прилагается).</w:t>
      </w:r>
    </w:p>
    <w:p w:rsidR="00FF0763" w:rsidRPr="00FF0763" w:rsidRDefault="00FF0763" w:rsidP="006929A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Признать утратившим силу постановление администрации Грязовецкого муниципального района от 27.12.2021 №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673 «Об утверждении Комплекса мер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развитию кадрового потенциала в </w:t>
      </w:r>
      <w:proofErr w:type="spellStart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2022-2024 годы».</w:t>
      </w:r>
    </w:p>
    <w:p w:rsidR="00FF0763" w:rsidRPr="00FF0763" w:rsidRDefault="00FF0763" w:rsidP="006929A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proofErr w:type="gramStart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возложить </w:t>
      </w:r>
      <w:r w:rsidR="006929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первого заместителя главы</w:t>
      </w: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Л.Н. Крутикову.</w:t>
      </w:r>
    </w:p>
    <w:p w:rsidR="00FF0763" w:rsidRPr="00FF0763" w:rsidRDefault="00FF0763" w:rsidP="006929AC">
      <w:pPr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FF076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подлежит официальному опубликованию, размещению на официальном сайте Грязовецкого муниципального округа.</w:t>
      </w:r>
    </w:p>
    <w:p w:rsidR="007028B3" w:rsidRPr="004222FC" w:rsidRDefault="007028B3" w:rsidP="00FC4276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Pr="004222FC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="006929AC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647B57" w:rsidRDefault="00647B57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AC" w:rsidRDefault="006929A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AC" w:rsidRDefault="006929A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AC" w:rsidRDefault="006929A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AC" w:rsidRDefault="006929A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AC" w:rsidRDefault="006929A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Default="00595601" w:rsidP="00595601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595601">
      <w:pPr>
        <w:pageBreakBefore/>
        <w:widowControl w:val="0"/>
        <w:shd w:val="clear" w:color="auto" w:fill="FFFFFF"/>
        <w:suppressAutoHyphens w:val="0"/>
        <w:autoSpaceDE w:val="0"/>
        <w:autoSpaceDN w:val="0"/>
        <w:adjustRightInd w:val="0"/>
        <w:spacing w:line="100" w:lineRule="atLeast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УТВЕРЖДЁН</w:t>
      </w:r>
    </w:p>
    <w:p w:rsidR="00595601" w:rsidRPr="004652A4" w:rsidRDefault="00595601" w:rsidP="00595601">
      <w:pPr>
        <w:widowControl w:val="0"/>
        <w:suppressAutoHyphens w:val="0"/>
        <w:autoSpaceDE w:val="0"/>
        <w:autoSpaceDN w:val="0"/>
        <w:adjustRightInd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постановлением администрации </w:t>
      </w:r>
    </w:p>
    <w:p w:rsidR="00595601" w:rsidRPr="004652A4" w:rsidRDefault="00595601" w:rsidP="00595601">
      <w:pPr>
        <w:widowControl w:val="0"/>
        <w:suppressAutoHyphens w:val="0"/>
        <w:autoSpaceDE w:val="0"/>
        <w:autoSpaceDN w:val="0"/>
        <w:adjustRightInd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муниципального округа</w:t>
      </w:r>
    </w:p>
    <w:p w:rsidR="00595601" w:rsidRPr="004652A4" w:rsidRDefault="00595601" w:rsidP="00595601">
      <w:pPr>
        <w:widowControl w:val="0"/>
        <w:suppressAutoHyphens w:val="0"/>
        <w:autoSpaceDE w:val="0"/>
        <w:autoSpaceDN w:val="0"/>
        <w:adjustRightInd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от 29.02.2024 № 519</w:t>
      </w:r>
    </w:p>
    <w:p w:rsidR="00595601" w:rsidRPr="004652A4" w:rsidRDefault="00595601" w:rsidP="00595601">
      <w:pPr>
        <w:widowControl w:val="0"/>
        <w:suppressAutoHyphens w:val="0"/>
        <w:autoSpaceDE w:val="0"/>
        <w:autoSpaceDN w:val="0"/>
        <w:adjustRightInd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AC3F80" w:rsidRDefault="00595601" w:rsidP="00595601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C3F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КОМПЛЕКС МЕР ПО РАЗВИТИЮ КАДРОВОГО ПОТЕНЦИАЛА</w:t>
      </w:r>
    </w:p>
    <w:p w:rsidR="00595601" w:rsidRPr="00AC3F80" w:rsidRDefault="00595601" w:rsidP="00595601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C3F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В ГРЯЗОВЕЦКОМ МУНИЦИПАЛЬНОМ ОКРУГЕ НА 2024-2026 ГОДЫ</w:t>
      </w:r>
    </w:p>
    <w:p w:rsidR="00595601" w:rsidRPr="004652A4" w:rsidRDefault="00595601" w:rsidP="00595601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(далее — Комплекс мер)</w:t>
      </w:r>
    </w:p>
    <w:p w:rsidR="00595601" w:rsidRPr="00AC3F80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95601" w:rsidRPr="00AC3F80" w:rsidRDefault="00595601" w:rsidP="00595601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AC3F80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I. Структура Комплекса мер</w:t>
      </w: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7015"/>
      </w:tblGrid>
      <w:tr w:rsidR="00595601" w:rsidRPr="004652A4" w:rsidTr="00AC3F80">
        <w:tc>
          <w:tcPr>
            <w:tcW w:w="2704" w:type="dxa"/>
            <w:shd w:val="clear" w:color="auto" w:fill="auto"/>
          </w:tcPr>
          <w:p w:rsidR="00AC3F80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Ответственный 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исполн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тель  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Администрация Грязовецкого муниципального округа </w:t>
            </w: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Участники Комплекса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и молодежной политики администрации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Грязовецкого муниципального округа (Управление образования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молодежной политики администрации окр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га);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социально-экономического развития округа админ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страции Грязовецкого муниципального округа а (далее — УСЭРО администр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ции  округа);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по культуре, спорту, туризму администрации Грязове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кого муниципального округа (далее Управление культуры администрации округа);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социально-экономического развития сельского хозяйства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Грязовецкого муниципального округа (отдел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циально-экономического развития сельского хозяйства администрации округа);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организационной и кадровой работы администрации Гряз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вецкого муниципального округа (отдел организационной и кадровой работы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округа);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Бюджетное профессиональное образовательное учреждение Вол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годской области «Грязовецкий политехнический техн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кум» (далее - БПОУ ВО «Грязовецкий политехнический те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х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никум»); 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Бюджетное учреждение здравоохранения Вологодской области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центральная районная больница» (далее - БУЗ ВО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ЦРБ»);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Отделение занятости населения по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муниципальному округу Казенного учреждения Вологодской области «Центр занятости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логодской области» по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муниципальному округу у (далее - ОЗН по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муниципальному  округу).</w:t>
            </w: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Цель Комплекса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Сокращение оттока выпускников школ, снижение миграц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онного оттока за пределы округа, обеспечение квалифицированными ка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рами органов местного самоуправления, предприятий  и учрежд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ний округа с целью дальнейшего социально-экономического разв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тия округа.</w:t>
            </w: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Задачи Комплекса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выполнение мероприятий по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профориентационной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работе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 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разовательных учреждениях округа;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оказание мер поддержки для закрепления в округе молодых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квалифицированных кадров;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- привлечение и закрепление в округе выпускников высших и сре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них профессиональных учебных заведений, молодых специалистов;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обеспечение эффективного взаимодействия администрации окр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га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предприятий, организаций и учреждений округа по решению кадровых вопросов.</w:t>
            </w: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Целевые показатели Ко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численность постоянного населения;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миграционный прирост (убыль) населения;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обеспечение высокого уровня поступления выпускников   9-х классов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 колледжи и техникумы Вологодской области;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обеспечение продолжения обучения в школе и поступления в ко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леджи и техникумы Вологодской области выпускников 9-х классов;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обеспечение высокого уровня выпускников 11-х классов в вузы,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колледжи и техникумы Вологодской области;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количество студентов образовательных организаций, реализующих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программы СПО и высшего образования, заключивших договоры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целевого обучения с организациями – р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ботодателями округа.</w:t>
            </w: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Сроки реализации Ко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2024-2026 годы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Объем бюджетных ассигн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ваний Комплекса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Финансирование осуществляется в рамках реализации муниц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пальных программ: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«Развитие систем образования, молодежной политики, отдыха,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оздоровления и занятости несовершеннолетних в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муниципаль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ном округе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 2023-2028 годы», утвержденной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становлением администрации Грязовецкого муниципального района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от 31.10.2022 № 577;  </w:t>
            </w:r>
          </w:p>
          <w:p w:rsidR="00595601" w:rsidRPr="00424E8A" w:rsidRDefault="00595601" w:rsidP="00424E8A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«Совершенствование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муниципального управления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муниципальном округе  на 2023-2028 годы»,  утвержденной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становлением администрации Грязовецкого муниципального района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 31.10.2022 № 581.</w:t>
            </w:r>
          </w:p>
        </w:tc>
      </w:tr>
      <w:tr w:rsidR="00595601" w:rsidRPr="004652A4" w:rsidTr="00AC3F80">
        <w:tc>
          <w:tcPr>
            <w:tcW w:w="2704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Ожидаемые результаты ре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лизации Комплекса мер</w:t>
            </w:r>
          </w:p>
        </w:tc>
        <w:tc>
          <w:tcPr>
            <w:tcW w:w="7015" w:type="dxa"/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создание единой системы </w:t>
            </w:r>
            <w:proofErr w:type="spellStart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профориентационной</w:t>
            </w:r>
            <w:proofErr w:type="spellEnd"/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работы,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ориентированной на конкретную кадровую ситуацию в окр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ге;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создание ус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ловий для закрепления в округе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молодых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квалифицированных кадров;</w:t>
            </w:r>
          </w:p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- повышение профессионального уровня кадров органов местного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самоуправления округа, предприятий и  учрежд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ний округа.</w:t>
            </w:r>
          </w:p>
        </w:tc>
      </w:tr>
    </w:tbl>
    <w:p w:rsidR="00595601" w:rsidRPr="004652A4" w:rsidRDefault="00595601" w:rsidP="001E35B4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24E8A" w:rsidRDefault="00595601" w:rsidP="001E35B4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24E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II. Общая характеристика сферы реализации</w:t>
      </w:r>
    </w:p>
    <w:p w:rsidR="00595601" w:rsidRPr="00424E8A" w:rsidRDefault="00595601" w:rsidP="001E35B4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24E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Комплекса мер</w:t>
      </w:r>
    </w:p>
    <w:p w:rsidR="00595601" w:rsidRPr="004652A4" w:rsidRDefault="00595601" w:rsidP="001E35B4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Грязовецкий округ расположен на юге Вологодской области. Граничит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Вологодским и Междуреченским округами Вологодской области, Первомайским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Любимским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районами Ярославской области; Буйским и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Солигаличским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районами Костромской области. В состав муниципального округа входит 481 сельский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населенный пункт и 2 </w:t>
      </w:r>
      <w:proofErr w:type="gram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городских</w:t>
      </w:r>
      <w:proofErr w:type="gram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населенных пункта. Административный центр —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город Гр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зовец.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Грязовецкий округ имеет многоотраслевую структуру экономики. Традицио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но основными видами экономической деятельности округа являются обрабатыва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ю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щие производства, сельское хозяйство и транспорт. Развитие этих видов обусловлено,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первую очередь, наличием запасов древесины и большими площадями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сельхозугодий, а также потребностью в переработке сырья, производимого местными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сельхозпредприятиями.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Большинство сельхозпредприятий округа специализируется на молочно-мясном животноводстве, многие имеют статус племенных хозяйств. Всего в состав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ропромышленного комплекса округа входят 8 сельскохозяйственных организаций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два предприятия переработки – ОАО «Северное Молоко» </w:t>
      </w:r>
      <w:proofErr w:type="gram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ООО</w:t>
      </w:r>
      <w:proofErr w:type="gram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«Покровские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овощи».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Лес – основное природное богатство Грязовецкого округа, а лесной комплекс – одна из ключевых сфер его экономики. Округ обладает огромными запасами лесных ресурсов, а также широкими производственными и инфраструктурными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возможностями.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Система здравоохранения Грязовецкого округа представлена центральной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районной больницей с ее стационарными и амбулаторными подразделениями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Грязовце и Вохтоге, 5 амбулаториями и 25 фельдшерско-акушерскими пунктами. Одна из главных проблем здравоохранения в округе – дефицит кадров. Отрасль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испытывает нед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статок в «узких» специалистах.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Грязовецкий округ имеет развитую сеть учреждений культуры, основу кот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рых составляют библиотеки, музей и культурно-досуговые учреждения. В настоящее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время эта сеть полностью обеспечивает население округа всем спектром услуг.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Она включает в себя культурно-досуговый центр с 12 филиалами,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Вохтожский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ПДК, Грязовецкий музей истории и народной культуры,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межпоселенческую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центральную би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б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лиотеку с 10 филиалами и 7 отделами.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Грязовецкий округ имеет выгодное транспортно-географическое положение.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его территории пролегает широкая сеть как автомобильных, так и железных дорог. Одна из важнейших транспортных артерий, проходящих через округ – фед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ральная трасса М-8 «Москва-Архангельск». </w:t>
      </w:r>
      <w:proofErr w:type="gram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Важное значение</w:t>
      </w:r>
      <w:proofErr w:type="gram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имеют региональные автодор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ги «Вологда-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Ростилово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», которая связывает Грязовец с областной столицей, и «Гр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я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зовец-Вохтога». Всего протяженность автомобильных дорог общего пользования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округе составляет порядка 1269 км.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В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округе сформирована оптимальная структура сети учреждений общего и дополнительного образования, которая при эффективном использовании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ресурсов способна обеспечить доступность качественного образования. </w:t>
      </w:r>
      <w:proofErr w:type="gram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Система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образования округа включает в себя 19 образовательных учреждений, в том числе 7 дошкольных образовательных учреждений (далее - ДОУ), 3 основных школы, 5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средних школ, 1 учреждение дополнительного образования  детей, БОУ ВО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школа-интернат для обучающихся с ОВЗ по зрению», БОУ ВО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школа-интернат для обучающихся с ОВЗ по слуху», БПОУ ВО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«Грязовецкий политехнический техникум», в том числе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Вохтогский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филиал БПОУ</w:t>
      </w:r>
      <w:proofErr w:type="gram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ВО «Грязовецкий пол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технический техникум» в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</w:t>
      </w:r>
      <w:proofErr w:type="gram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.В</w:t>
      </w:r>
      <w:proofErr w:type="gram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охтога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.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округе  сложилась определенная система работы с кадрами, принимаются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меры по обучению и закреплению специалистов, имеется положительный опыт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профориентационной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работы среди выпускников школ. На решение вопросов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обучения, переподготовки и повышения квалификации кадров выделяются средства из бюджета округа.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Устанавливаются контакты с высшими учебными заведениями, средними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профессиональными учебными заведениями, имеются данные о выпускниках школ округа, обучающихся в образовательных учреждениях высшего и среднего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профессионального образования.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Вместе с тем, необходимо усилить взаимное сотрудничество администрации округа, отделения  занятости населения,  предприятий и учреждений округа  в целях решения проблем с кадрами в различных отраслях экономики округа, применить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комплексные подходы для улучшения ситуации в целом.</w:t>
      </w:r>
    </w:p>
    <w:p w:rsidR="00595601" w:rsidRPr="004652A4" w:rsidRDefault="00595601" w:rsidP="001E35B4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24E8A" w:rsidRDefault="00595601" w:rsidP="001E35B4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424E8A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III. Цели, задачи и целевые показатели Комплекса мер</w:t>
      </w:r>
    </w:p>
    <w:p w:rsidR="00595601" w:rsidRPr="00424E8A" w:rsidRDefault="00595601" w:rsidP="001E35B4">
      <w:pPr>
        <w:widowControl w:val="0"/>
        <w:suppressAutoHyphens w:val="0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Целью Комплекса мер является сокращение оттока выпускников школ,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снижение миграционного оттока за пределы округа, обеспечение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квалифицированными кадрами органов местного самоуправления, предприятий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 учреждений округа с целью дальнейшего социально-экономического развития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округа.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Для достижения обозначенной цели требуется решение следующих задач: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выполнение мероприятий по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профориентационной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работе в образовательных учреждениях округа;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оказание мер поддержки для закрепления в округе молодых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квалифицированных кадров;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привлечение и закрепление в округе выпускников высших и средних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профессиональных учебных заведений, молодых специалистов;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обеспечение эффективного взаимодействия администрации округа 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и предприятий и учреждений округа  по решению кадровых вопросов.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целевых показателях, которые будут достигнуты в результате</w:t>
      </w:r>
      <w:r w:rsidR="00424E8A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реализации мероприятий, представлены в таблице 1. </w:t>
      </w:r>
    </w:p>
    <w:p w:rsidR="00595601" w:rsidRPr="004652A4" w:rsidRDefault="00595601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595601">
      <w:pPr>
        <w:widowControl w:val="0"/>
        <w:suppressAutoHyphens w:val="0"/>
        <w:spacing w:line="276" w:lineRule="auto"/>
        <w:jc w:val="right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Таблица 1</w:t>
      </w:r>
    </w:p>
    <w:tbl>
      <w:tblPr>
        <w:tblW w:w="9944" w:type="dxa"/>
        <w:tblInd w:w="-5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780"/>
        <w:gridCol w:w="1151"/>
        <w:gridCol w:w="1248"/>
        <w:gridCol w:w="1248"/>
        <w:gridCol w:w="1265"/>
        <w:gridCol w:w="1252"/>
      </w:tblGrid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Показатели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Ед. изм.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2023 год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год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2025 год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2026 год</w:t>
            </w:r>
          </w:p>
        </w:tc>
      </w:tr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Численность постоянного населения (на 1 января)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чел.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32078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31973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32305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32140</w:t>
            </w:r>
          </w:p>
        </w:tc>
      </w:tr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Миграционный прирост (убыль) населения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чел.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-100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90</w:t>
            </w:r>
          </w:p>
        </w:tc>
      </w:tr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Доля выпускников 9-х классов,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ступивших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колледжи </w:t>
            </w:r>
            <w:r w:rsid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техникумы Вологодской обл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сти 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50</w:t>
            </w:r>
          </w:p>
        </w:tc>
      </w:tr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Доля выпускников 9-х классов,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продолживших  обучение в школе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 поступивших в колледжи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техникумы Вологодской области 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98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98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98</w:t>
            </w:r>
          </w:p>
        </w:tc>
      </w:tr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Доля выпускников 11-х классов,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ступивших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в вузы, колледжи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техникумы Волого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ской области 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%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72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72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72</w:t>
            </w:r>
          </w:p>
        </w:tc>
      </w:tr>
      <w:tr w:rsidR="00595601" w:rsidRPr="004652A4" w:rsidTr="00595601"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Количество студентов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образовательных организаций,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реализующих программы СПО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высшего образования, 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заключивших договоры целевого обучения с организациями –</w:t>
            </w:r>
            <w:r w:rsidR="001E35B4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ботодателями округа</w:t>
            </w:r>
          </w:p>
        </w:tc>
        <w:tc>
          <w:tcPr>
            <w:tcW w:w="1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чел.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18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  <w:tc>
          <w:tcPr>
            <w:tcW w:w="1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95601" w:rsidRPr="00424E8A" w:rsidRDefault="00595601" w:rsidP="00595601">
            <w:pPr>
              <w:widowControl w:val="0"/>
              <w:suppressAutoHyphens w:val="0"/>
              <w:spacing w:line="276" w:lineRule="auto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424E8A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</w:t>
            </w:r>
          </w:p>
        </w:tc>
      </w:tr>
    </w:tbl>
    <w:p w:rsidR="00595601" w:rsidRPr="001E35B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95601" w:rsidRPr="001E35B4" w:rsidRDefault="00595601" w:rsidP="001E35B4">
      <w:pPr>
        <w:widowControl w:val="0"/>
        <w:suppressAutoHyphens w:val="0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5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IV.  Сроки и этапы реализации Комплекса мер</w:t>
      </w:r>
    </w:p>
    <w:p w:rsidR="00595601" w:rsidRPr="004652A4" w:rsidRDefault="00595601" w:rsidP="001E35B4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1E35B4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Срок реализации Комплекса мер — 2024 - 2026 годы.</w:t>
      </w:r>
    </w:p>
    <w:p w:rsidR="00595601" w:rsidRDefault="00595601" w:rsidP="001E35B4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Корректировка Комплекса мер проводится ежегодно (при необходимости)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учетом изменения законодательства Российской Федерации, оценки эффективности реализации Комплекса мер, достижения целевых показателей, анализа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социально-экономического развития муниципального округа. </w:t>
      </w:r>
    </w:p>
    <w:p w:rsidR="001E35B4" w:rsidRPr="004652A4" w:rsidRDefault="001E35B4" w:rsidP="001E35B4">
      <w:pPr>
        <w:widowControl w:val="0"/>
        <w:suppressAutoHyphens w:val="0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1E35B4" w:rsidRDefault="00595601" w:rsidP="001E35B4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5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V. Финансовое обеспечение реализации</w:t>
      </w:r>
      <w:r w:rsidR="001E35B4" w:rsidRPr="001E35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</w:t>
      </w:r>
      <w:r w:rsidRPr="001E35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Комплекса мер</w:t>
      </w: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1E35B4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Финансирование осуществляется в рамках реализации муниципальной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программы «Развитие систем образования, молодежной политики, отдыха, оздоровл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е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ния и занятости несовершеннолетних в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годы», утвержденной постановлением администрации Грязовецкого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района от 31.10.2022 № 577 и муниципальной программы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«Совершенствование муни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ципального управления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в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 округе на 2023-2028 годы», утвержденной постановлением администрации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Грязовецкого м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ниципального района от 31.10.2022 № 581.</w:t>
      </w:r>
      <w:proofErr w:type="gramEnd"/>
    </w:p>
    <w:p w:rsidR="00595601" w:rsidRPr="004652A4" w:rsidRDefault="00595601" w:rsidP="001E35B4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Объемы ассигнований из бюджета округа подлежат ежегодному уточнению, </w:t>
      </w:r>
      <w:r w:rsidR="001E35B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исходя из возможностей бюджета округа. </w:t>
      </w:r>
    </w:p>
    <w:p w:rsidR="00595601" w:rsidRPr="004652A4" w:rsidRDefault="00595601" w:rsidP="001E35B4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1E35B4">
      <w:pPr>
        <w:widowControl w:val="0"/>
        <w:suppressAutoHyphens w:val="0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95601" w:rsidRPr="004652A4" w:rsidSect="00595601">
          <w:headerReference w:type="default" r:id="rId11"/>
          <w:pgSz w:w="11906" w:h="16838"/>
          <w:pgMar w:top="1134" w:right="567" w:bottom="1134" w:left="1701" w:header="425" w:footer="720" w:gutter="0"/>
          <w:cols w:space="720"/>
          <w:titlePg/>
          <w:docGrid w:linePitch="360"/>
        </w:sectPr>
      </w:pPr>
    </w:p>
    <w:p w:rsidR="00595601" w:rsidRPr="001E35B4" w:rsidRDefault="00595601" w:rsidP="00595601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E35B4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VI. Перечень мероприятий Комплекса мер</w:t>
      </w:r>
    </w:p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6"/>
        <w:gridCol w:w="2858"/>
        <w:gridCol w:w="6095"/>
        <w:gridCol w:w="1701"/>
        <w:gridCol w:w="3544"/>
      </w:tblGrid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№</w:t>
            </w:r>
          </w:p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proofErr w:type="gramEnd"/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/п</w:t>
            </w:r>
          </w:p>
        </w:tc>
        <w:tc>
          <w:tcPr>
            <w:tcW w:w="2858" w:type="dxa"/>
            <w:shd w:val="clear" w:color="auto" w:fill="auto"/>
          </w:tcPr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Мероприятие</w:t>
            </w:r>
          </w:p>
        </w:tc>
        <w:tc>
          <w:tcPr>
            <w:tcW w:w="6095" w:type="dxa"/>
            <w:shd w:val="clear" w:color="auto" w:fill="auto"/>
          </w:tcPr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Результаты реализации мероприятия</w:t>
            </w:r>
          </w:p>
        </w:tc>
        <w:tc>
          <w:tcPr>
            <w:tcW w:w="1701" w:type="dxa"/>
            <w:shd w:val="clear" w:color="auto" w:fill="auto"/>
          </w:tcPr>
          <w:p w:rsidR="001E35B4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 xml:space="preserve">Сроки </w:t>
            </w:r>
          </w:p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с</w:t>
            </w: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полнения</w:t>
            </w:r>
          </w:p>
        </w:tc>
        <w:tc>
          <w:tcPr>
            <w:tcW w:w="3544" w:type="dxa"/>
            <w:shd w:val="clear" w:color="auto" w:fill="auto"/>
          </w:tcPr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Орган (должностное лицо)</w:t>
            </w:r>
          </w:p>
          <w:p w:rsidR="00595601" w:rsidRP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ответственный</w:t>
            </w:r>
            <w:proofErr w:type="gramEnd"/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 xml:space="preserve"> за реализацию м</w:t>
            </w: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роприятий</w:t>
            </w:r>
          </w:p>
        </w:tc>
      </w:tr>
      <w:tr w:rsidR="00595601" w:rsidRPr="004652A4" w:rsidTr="00595601">
        <w:tc>
          <w:tcPr>
            <w:tcW w:w="14884" w:type="dxa"/>
            <w:gridSpan w:val="5"/>
            <w:shd w:val="clear" w:color="auto" w:fill="auto"/>
          </w:tcPr>
          <w:p w:rsidR="00595601" w:rsidRPr="000F08B8" w:rsidRDefault="000F08B8" w:rsidP="000F08B8">
            <w:pPr>
              <w:widowControl w:val="0"/>
              <w:tabs>
                <w:tab w:val="left" w:pos="5250"/>
                <w:tab w:val="center" w:pos="7567"/>
              </w:tabs>
              <w:suppressAutoHyphens w:val="0"/>
              <w:autoSpaceDE w:val="0"/>
              <w:autoSpaceDN w:val="0"/>
              <w:adjustRightInd w:val="0"/>
              <w:ind w:left="360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ab/>
            </w:r>
            <w:r w:rsidR="006E2F9F" w:rsidRPr="006E2F9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val="en-US" w:eastAsia="zh-CN" w:bidi="hi-IN"/>
              </w:rPr>
              <w:t>I</w:t>
            </w:r>
            <w:r w:rsidR="006E2F9F" w:rsidRPr="006E2F9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ab/>
            </w:r>
            <w:r w:rsidR="00595601" w:rsidRPr="000F08B8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Мероприятия по профориентации школьников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1.1</w:t>
            </w:r>
          </w:p>
        </w:tc>
        <w:tc>
          <w:tcPr>
            <w:tcW w:w="2858" w:type="dxa"/>
            <w:shd w:val="clear" w:color="auto" w:fill="auto"/>
          </w:tcPr>
          <w:p w:rsidR="001E35B4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Реализация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мероприятий иници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тивы «</w:t>
            </w:r>
            <w:proofErr w:type="gram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Профессио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наль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ный</w:t>
            </w:r>
            <w:proofErr w:type="gram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ы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бор»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Открытие профессионально ориентированных классов: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(кадетские классы, психолого-педагогические классы (группы):</w:t>
            </w:r>
            <w:proofErr w:type="gramEnd"/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 год – 2; 2025  год – 2; 2026  год - 2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образования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округа,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ководители школ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1.2</w:t>
            </w:r>
          </w:p>
        </w:tc>
        <w:tc>
          <w:tcPr>
            <w:tcW w:w="2858" w:type="dxa"/>
            <w:shd w:val="clear" w:color="auto" w:fill="auto"/>
          </w:tcPr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Обеспечение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профориента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цион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ного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стирования </w:t>
            </w:r>
            <w:proofErr w:type="gram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обучающихся</w:t>
            </w:r>
            <w:proofErr w:type="gram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общеобразова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тель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ных 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орг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низаций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Выявление склонностей по направлениям областей наук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обучающихся 6 - 8 классов и 10-х классов, по итогам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профориентационного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стирования</w:t>
            </w:r>
          </w:p>
        </w:tc>
        <w:tc>
          <w:tcPr>
            <w:tcW w:w="1701" w:type="dxa"/>
            <w:shd w:val="clear" w:color="auto" w:fill="auto"/>
          </w:tcPr>
          <w:p w:rsidR="000F08B8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Ежегодно, 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ябрь, март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министрации округа 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95601" w:rsidRPr="004652A4" w:rsidTr="000F08B8">
        <w:trPr>
          <w:trHeight w:val="588"/>
        </w:trPr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1.3</w:t>
            </w:r>
          </w:p>
        </w:tc>
        <w:tc>
          <w:tcPr>
            <w:tcW w:w="2858" w:type="dxa"/>
            <w:shd w:val="clear" w:color="auto" w:fill="auto"/>
          </w:tcPr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Мониторинг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предварительного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определения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профессиональных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намерений обуч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ющихся 9-х - 11-х классов </w:t>
            </w:r>
          </w:p>
          <w:p w:rsidR="000F08B8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общеобразо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ватель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ных 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орг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низаций округа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Анализ направлений подготовки (ВУЗы,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СУЗы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) для дальне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й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шего обучения выпускников школ округа.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Анализ информации по использованию целевых направлений на обучение в образовательных учреждениях области и за ее пред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лами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ноябрь,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февраль,  июнь, 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густ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администрации округа,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ководители школ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1.4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Организация </w:t>
            </w:r>
            <w:proofErr w:type="gram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обуч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ния по программам</w:t>
            </w:r>
            <w:proofErr w:type="gram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техн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ческой направленности в Центре цифрового образования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тей «IT-куб»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Выявление детей, желающих и имеющих способности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продолжить обучение в образовательных учреждениях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по техническим специал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ь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ностям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Ежегодно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Управление образования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министрации округа, 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Центр цифрового образования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тей «IT-куб»</w:t>
            </w:r>
          </w:p>
          <w:p w:rsidR="00595601" w:rsidRPr="00950AF1" w:rsidRDefault="00595601" w:rsidP="00950AF1">
            <w:pPr>
              <w:widowControl w:val="0"/>
              <w:suppressAutoHyphens w:val="0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595601" w:rsidRPr="004652A4" w:rsidTr="000F08B8">
        <w:tc>
          <w:tcPr>
            <w:tcW w:w="686" w:type="dxa"/>
            <w:vMerge w:val="restart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1.5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595601" w:rsidRPr="00950AF1" w:rsidRDefault="000F08B8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spellStart"/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Профориентацион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ная</w:t>
            </w:r>
            <w:proofErr w:type="spellEnd"/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раб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та со школьниками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на востребованные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регионе направления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подготовки 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Участие в федеральных проектах: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ПроеКТОриЯ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»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«Билет в будущее»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«Большая перемена»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округа,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ководители школ</w:t>
            </w:r>
          </w:p>
        </w:tc>
      </w:tr>
      <w:tr w:rsidR="00595601" w:rsidRPr="004652A4" w:rsidTr="000F08B8">
        <w:tc>
          <w:tcPr>
            <w:tcW w:w="686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Проведение встреч с работодателями, экскурсий в организации окр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администрации округа,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ководители школ</w:t>
            </w:r>
          </w:p>
        </w:tc>
      </w:tr>
      <w:tr w:rsidR="00595601" w:rsidRPr="004652A4" w:rsidTr="000F08B8">
        <w:tc>
          <w:tcPr>
            <w:tcW w:w="686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Проведение ярмарки потенциальных рабочих мест «На работу – 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мой» на предприятиях и учреждениях  округа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округа,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ководители школ</w:t>
            </w:r>
          </w:p>
        </w:tc>
      </w:tr>
      <w:tr w:rsidR="00595601" w:rsidRPr="004652A4" w:rsidTr="000F08B8">
        <w:tc>
          <w:tcPr>
            <w:tcW w:w="686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Проведение бесед, классных часов по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профориентированию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об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чающихся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администрации округа,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ководители школ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1.6. 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Реализация проекта «Мой профессиональный в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ы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бор»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Организации работы по заключению целевых договоров между выпускниками и работодателями на обучение в ВУЗах </w:t>
            </w:r>
            <w:r w:rsidR="000F08B8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СУЗах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.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молодежной политики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администрации округа,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ководители школ, 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УСЭРО администрации  окр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га,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социально-экономического развития сельского хозяйства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округа,</w:t>
            </w:r>
          </w:p>
          <w:p w:rsidR="00595601" w:rsidRPr="00950AF1" w:rsidRDefault="00595601" w:rsidP="000F08B8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отдел организационной и кадр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вой работы администрации окр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</w:t>
            </w:r>
          </w:p>
        </w:tc>
      </w:tr>
      <w:tr w:rsidR="00595601" w:rsidRPr="004652A4" w:rsidTr="00595601">
        <w:trPr>
          <w:trHeight w:val="314"/>
        </w:trPr>
        <w:tc>
          <w:tcPr>
            <w:tcW w:w="14884" w:type="dxa"/>
            <w:gridSpan w:val="5"/>
            <w:shd w:val="clear" w:color="auto" w:fill="auto"/>
            <w:vAlign w:val="center"/>
          </w:tcPr>
          <w:p w:rsidR="00595601" w:rsidRPr="006E2F9F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6E2F9F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II. Оказание мер поддержки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2.1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о 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рах финансовой поддержки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студентам медицинских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ВУЗов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 выплатах дополнительных стипендий из областного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бюджета студентам-медикам, обучающимся по целевым направлениям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6E2F9F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 социальной политике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Крылова О.И., БУЗ ВО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2.2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Оказание финансовой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поддержки студентам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дицинских ВУЗов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Выплата дополнительных стипендий из областного бюджета ст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дентам-медикам, обучающимся по целевым направлениям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6E2F9F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 социальной политике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Крылова О.И.,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БУЗ ВО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2.3 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Оказание финансовой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поддержки студентам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средних профессиональных медицинских учр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ждений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Выплата дополнительных стипендий из бюджета округа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студентам средних профессиональных медицинских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учреждений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6E2F9F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 социальной политике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Крылова О.И.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БУЗ ВО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2.4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Информирование об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оказании мер поддержки медицинским рабо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никам  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о реализации программ «Земский врач»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 «Зе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ский фельдшер»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6E2F9F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 w:rsidR="006E2F9F" w:rsidRP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 социальной политике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Крылова О.И.,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БУЗ ВО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2.5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Оказание мер поддер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ж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ки медицинским рабо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никам 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Предоставление субсидий по  программам «Земский врач»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 «Земский фельдшер»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БУЗ ВО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2.6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Обеспечение жильем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молодых специалистов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 сфере здравоохран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ния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Частичная компенсация найма жилья медицинским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ботникам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 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 социальной политике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Крылова О.И.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БУЗ ВО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2.7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о 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рах поддержки молодым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специалистам в сфере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здравоохранения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 выплате подъемных молодым специалистам, пришедшим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 раб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ту в БУЗ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 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6E2F9F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по социальной политике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Крылова О.И.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БУЗ ВО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2.8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6E2F9F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Оказание мер под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держки молодым сп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циалистам </w:t>
            </w: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 сфере здравоохр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="00595601"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нения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Выплата подъемных молодым специалистам, пришедшим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на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боту в БУЗ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 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БУЗ ВО «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Грязовецкая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ЦРБ»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2.9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об оказании мер поддержки по программе «Земский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учитель»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Реализации программы «Земский учитель»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2.10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Оказание финанс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вой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под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держки студентам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proofErr w:type="gram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дагогических</w:t>
            </w:r>
            <w:proofErr w:type="gram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ВУЗов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Выплата студентам педагогических ВУЗов стипендии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на последнем курсе обучения в размере 3000 рублей,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обучающимся по целевым направлениям за счет средств бю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жета округа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молодежной политики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6E2F9F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2.11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Обеспечение жильем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молодых специалистов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 сфере 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разования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Частичная компенсация найма жилья   молодым специалистам, поступившим на работу в образовательные учреждения после окончания учебных заведений профессионального образования в течение трех первых лет работы за счет средств бюджета округа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6E2F9F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министрации округа </w:t>
            </w:r>
          </w:p>
        </w:tc>
      </w:tr>
      <w:tr w:rsidR="00595601" w:rsidRPr="004652A4" w:rsidTr="000F08B8">
        <w:tc>
          <w:tcPr>
            <w:tcW w:w="686" w:type="dxa"/>
            <w:vMerge w:val="restart"/>
            <w:shd w:val="clear" w:color="auto" w:fill="auto"/>
          </w:tcPr>
          <w:p w:rsidR="006E2F9F" w:rsidRDefault="006E2F9F" w:rsidP="00950AF1">
            <w:pPr>
              <w:widowControl w:val="0"/>
              <w:numPr>
                <w:ilvl w:val="1"/>
                <w:numId w:val="33"/>
              </w:numPr>
              <w:tabs>
                <w:tab w:val="clear" w:pos="1080"/>
                <w:tab w:val="num" w:pos="2719"/>
              </w:tabs>
              <w:suppressAutoHyphens w:val="0"/>
              <w:autoSpaceDE w:val="0"/>
              <w:autoSpaceDN w:val="0"/>
              <w:adjustRightInd w:val="0"/>
              <w:ind w:left="4265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2</w:t>
            </w:r>
          </w:p>
          <w:p w:rsidR="00595601" w:rsidRPr="006E2F9F" w:rsidRDefault="006E2F9F" w:rsidP="006E2F9F">
            <w:pPr>
              <w:rPr>
                <w:rFonts w:ascii="Liberation Serif" w:eastAsia="Segoe UI" w:hAnsi="Liberation Serif" w:cs="Liberation Serif"/>
                <w:sz w:val="22"/>
                <w:szCs w:val="22"/>
                <w:lang w:eastAsia="zh-CN" w:bidi="hi-IN"/>
              </w:rPr>
            </w:pPr>
            <w:r>
              <w:rPr>
                <w:rFonts w:ascii="Liberation Serif" w:eastAsia="Segoe UI" w:hAnsi="Liberation Serif" w:cs="Liberation Serif"/>
                <w:sz w:val="22"/>
                <w:szCs w:val="22"/>
                <w:lang w:eastAsia="zh-CN" w:bidi="hi-IN"/>
              </w:rPr>
              <w:t>2.12</w:t>
            </w:r>
          </w:p>
        </w:tc>
        <w:tc>
          <w:tcPr>
            <w:tcW w:w="2858" w:type="dxa"/>
            <w:vMerge w:val="restart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о 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рах поддержки   педагогич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ских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ботников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proofErr w:type="gram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 предоставлении единовременных выплат в размере 100 тыс. рублей в течение 3-х лет работы в общеобразовательном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учреждении (за 1 год работы – 50 тыс. рублей, за 2 год работы – 30 тыс. рублей, за 3 год работы – 20 тыс. рублей)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соответствии с Законом Вологодской области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«О единовременных выплатах педагогическим работникам, проживающим в сельской мес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ности  от 28.04.2010 №2271-ОЗ.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министрации округа </w:t>
            </w:r>
          </w:p>
        </w:tc>
      </w:tr>
      <w:tr w:rsidR="00595601" w:rsidRPr="004652A4" w:rsidTr="000F08B8">
        <w:tc>
          <w:tcPr>
            <w:tcW w:w="686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858" w:type="dxa"/>
            <w:vMerge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 предоставлении единовременной выплаты педагогическим работникам в размере 500 тыс. рублей в соответствии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 Законом Вологодской области «О единовременной выплате педагогическим работникам, проживающим в сельской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местности» от 13.05.2021 №4891-ОЗ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 молодежной политики админ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страции округа 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2.13.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Обеспечение жильем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молодых специалистов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сфере физической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культуры и спорта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Частичная компенсация найма жилья тренерам спортивной шк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лы БУ «Центр ФКС»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Заместитель главы Грязовецкого муниципального округа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по социальной политике Крылова О.И.,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культуры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2.14.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о 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рах поддержки специ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листам агропромышлен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ного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комплекса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Об о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казании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финансовой поддержки специалистам в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соответствии с законом Вологодской области от 07.12.2015 №3795-ОЗ «О мерах социальной поддержки, направленных на кадровое обеспечение агропромышленного комплекса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ласти»</w:t>
            </w:r>
          </w:p>
        </w:tc>
        <w:tc>
          <w:tcPr>
            <w:tcW w:w="1701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6E2F9F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Отдел социально-экономического развития сельского хозяйства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</w:t>
            </w:r>
          </w:p>
        </w:tc>
      </w:tr>
      <w:tr w:rsidR="00595601" w:rsidRPr="004652A4" w:rsidTr="00595601">
        <w:tc>
          <w:tcPr>
            <w:tcW w:w="14884" w:type="dxa"/>
            <w:gridSpan w:val="5"/>
            <w:shd w:val="clear" w:color="auto" w:fill="auto"/>
            <w:vAlign w:val="center"/>
          </w:tcPr>
          <w:p w:rsidR="00595601" w:rsidRPr="00DD5EBE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DD5EBE">
              <w:rPr>
                <w:rFonts w:ascii="Liberation Serif" w:eastAsia="Segoe UI" w:hAnsi="Liberation Serif" w:cs="Liberation Serif"/>
                <w:b/>
                <w:color w:val="000000"/>
                <w:kern w:val="3"/>
                <w:sz w:val="22"/>
                <w:szCs w:val="22"/>
                <w:lang w:eastAsia="zh-CN" w:bidi="hi-IN"/>
              </w:rPr>
              <w:t>III. Обеспечение кадрами отраслей экономики округа</w:t>
            </w:r>
          </w:p>
        </w:tc>
      </w:tr>
      <w:tr w:rsidR="00595601" w:rsidRPr="004652A4" w:rsidTr="000F08B8">
        <w:trPr>
          <w:trHeight w:val="2459"/>
        </w:trPr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3.1.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Оказание мер поддер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ж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ки граждан при перес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лении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из других реги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нов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о мерах поддержки, оказываемых в рамках государственной программы государственной программы «Трудовые 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е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сурсы, занятость населения и безопасный труд» на 2021 – 2025 годы: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 безработным гражданам и членам их семей при переселении в другую местность для трудоустройства по направлению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ганов службы занятости;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- о мерах поддержки при переселении из других регионов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в Вол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годскую область</w:t>
            </w:r>
          </w:p>
        </w:tc>
        <w:tc>
          <w:tcPr>
            <w:tcW w:w="1701" w:type="dxa"/>
            <w:shd w:val="clear" w:color="auto" w:fill="auto"/>
          </w:tcPr>
          <w:p w:rsidR="00DD5EBE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2024 – 2026 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УСЭРО администрации округа, ОЗН по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ниципальному округу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3.2.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Проведение Дней откр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ы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тых дверей на предпри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я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тиях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жителей Грязовецкого округа об имеющихся в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кансиях на предприятиях округа</w:t>
            </w:r>
          </w:p>
        </w:tc>
        <w:tc>
          <w:tcPr>
            <w:tcW w:w="1701" w:type="dxa"/>
            <w:shd w:val="clear" w:color="auto" w:fill="auto"/>
          </w:tcPr>
          <w:p w:rsidR="00DD5EBE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2024 – 2026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:rsidR="00595601" w:rsidRPr="00950AF1" w:rsidRDefault="00595601" w:rsidP="00950AF1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УСЭРО администрации округа,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ганизации округа,</w:t>
            </w:r>
          </w:p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ОЗН по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ниципальному округу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lastRenderedPageBreak/>
              <w:t>3.3.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Проведение ярмарок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в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кансий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жителей Грязовецкого округа об имеющихся в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кансиях на предприятиях округа</w:t>
            </w:r>
          </w:p>
        </w:tc>
        <w:tc>
          <w:tcPr>
            <w:tcW w:w="1701" w:type="dxa"/>
            <w:shd w:val="clear" w:color="auto" w:fill="auto"/>
          </w:tcPr>
          <w:p w:rsidR="00DD5EBE" w:rsidRDefault="00595601" w:rsidP="00DD5EBE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DD5EBE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ОЗН по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ниципальному округу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3.4.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Сопровождение реализ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ции инвестиционных проектов на территории округа 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Информирование жителей Грязовецкого округа об</w:t>
            </w:r>
            <w:bookmarkStart w:id="0" w:name="_GoBack9"/>
            <w:bookmarkEnd w:id="0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имеющихся (пл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нируемых) вакансиях на предприятиях округа</w:t>
            </w:r>
          </w:p>
        </w:tc>
        <w:tc>
          <w:tcPr>
            <w:tcW w:w="1701" w:type="dxa"/>
            <w:shd w:val="clear" w:color="auto" w:fill="auto"/>
          </w:tcPr>
          <w:p w:rsidR="00DD5EBE" w:rsidRDefault="00595601" w:rsidP="00DD5EBE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DD5EBE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УСЭРО администрации округа, ОЗН по </w:t>
            </w:r>
            <w:proofErr w:type="spellStart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Грязовецкому</w:t>
            </w:r>
            <w:proofErr w:type="spellEnd"/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у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ниципальному округу</w:t>
            </w:r>
          </w:p>
        </w:tc>
      </w:tr>
      <w:tr w:rsidR="00595601" w:rsidRPr="004652A4" w:rsidTr="000F08B8">
        <w:tc>
          <w:tcPr>
            <w:tcW w:w="686" w:type="dxa"/>
            <w:shd w:val="clear" w:color="auto" w:fill="auto"/>
          </w:tcPr>
          <w:p w:rsidR="00595601" w:rsidRPr="00950AF1" w:rsidRDefault="00595601" w:rsidP="00950AF1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3.5.</w:t>
            </w:r>
          </w:p>
        </w:tc>
        <w:tc>
          <w:tcPr>
            <w:tcW w:w="2858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Осуществление монит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ринга возвращения и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  т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рудоустройства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выпускников-жителей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Грязовецкого округа,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завершивших обучение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в образовательных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организациях высшего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профессионального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б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разования  </w:t>
            </w:r>
          </w:p>
        </w:tc>
        <w:tc>
          <w:tcPr>
            <w:tcW w:w="6095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Разработка мер поддержки молодым специалистам</w:t>
            </w:r>
          </w:p>
        </w:tc>
        <w:tc>
          <w:tcPr>
            <w:tcW w:w="1701" w:type="dxa"/>
            <w:shd w:val="clear" w:color="auto" w:fill="auto"/>
          </w:tcPr>
          <w:p w:rsidR="00DD5EBE" w:rsidRDefault="00595601" w:rsidP="00DD5EBE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2024 – 2026</w:t>
            </w:r>
          </w:p>
          <w:p w:rsidR="00595601" w:rsidRPr="00950AF1" w:rsidRDefault="00595601" w:rsidP="00DD5EBE">
            <w:pPr>
              <w:widowControl w:val="0"/>
              <w:suppressAutoHyphens w:val="0"/>
              <w:jc w:val="center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г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о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ды</w:t>
            </w:r>
          </w:p>
        </w:tc>
        <w:tc>
          <w:tcPr>
            <w:tcW w:w="3544" w:type="dxa"/>
            <w:shd w:val="clear" w:color="auto" w:fill="auto"/>
          </w:tcPr>
          <w:p w:rsidR="00595601" w:rsidRPr="00950AF1" w:rsidRDefault="00595601" w:rsidP="00DD5EBE">
            <w:pPr>
              <w:widowControl w:val="0"/>
              <w:suppressAutoHyphens w:val="0"/>
              <w:jc w:val="both"/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</w:pP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Управление образования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и молодежной политики </w:t>
            </w:r>
            <w:r w:rsidR="00DD5EBE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 xml:space="preserve">              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а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д</w:t>
            </w:r>
            <w:r w:rsidRPr="00950AF1">
              <w:rPr>
                <w:rFonts w:ascii="Liberation Serif" w:eastAsia="Segoe UI" w:hAnsi="Liberation Serif" w:cs="Liberation Serif"/>
                <w:color w:val="000000"/>
                <w:kern w:val="3"/>
                <w:sz w:val="22"/>
                <w:szCs w:val="22"/>
                <w:lang w:eastAsia="zh-CN" w:bidi="hi-IN"/>
              </w:rPr>
              <w:t>министрации округа</w:t>
            </w:r>
          </w:p>
        </w:tc>
      </w:tr>
    </w:tbl>
    <w:p w:rsidR="00595601" w:rsidRPr="004652A4" w:rsidRDefault="00595601" w:rsidP="00595601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sectPr w:rsidR="00595601" w:rsidRPr="004652A4" w:rsidSect="00595601">
          <w:pgSz w:w="16838" w:h="11906" w:orient="landscape"/>
          <w:pgMar w:top="567" w:right="1134" w:bottom="454" w:left="1134" w:header="720" w:footer="720" w:gutter="0"/>
          <w:cols w:space="720"/>
          <w:docGrid w:linePitch="360"/>
        </w:sectPr>
      </w:pPr>
    </w:p>
    <w:p w:rsidR="00595601" w:rsidRPr="00DD5EBE" w:rsidRDefault="00595601" w:rsidP="00DD5EBE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D5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lastRenderedPageBreak/>
        <w:t>VII. Управление реализацией Комплекса мер</w:t>
      </w:r>
    </w:p>
    <w:p w:rsidR="00595601" w:rsidRPr="00DD5EBE" w:rsidRDefault="00595601" w:rsidP="00DD5EBE">
      <w:pPr>
        <w:widowControl w:val="0"/>
        <w:suppressAutoHyphens w:val="0"/>
        <w:spacing w:line="276" w:lineRule="auto"/>
        <w:jc w:val="center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DD5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и </w:t>
      </w:r>
      <w:proofErr w:type="gramStart"/>
      <w:r w:rsidRPr="00DD5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DD5EB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 ходом его реализации</w:t>
      </w:r>
    </w:p>
    <w:p w:rsidR="00595601" w:rsidRPr="00DD5EBE" w:rsidRDefault="00595601" w:rsidP="00DD5EBE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</w:p>
    <w:p w:rsidR="00595601" w:rsidRPr="004652A4" w:rsidRDefault="00595601" w:rsidP="00DD5EB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Реализация Комплекса мер осуществляется в соответствии с перечнем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мероприятий, входящих в состав Комплекса мер, в соответствии со сроками 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их выполнения. </w:t>
      </w:r>
    </w:p>
    <w:p w:rsidR="00595601" w:rsidRPr="004652A4" w:rsidRDefault="00595601" w:rsidP="00DD5EB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Исполнение Комплекса мер осуществляется Администрацией Грязовецкого муниципального округа, БПОУ ВО «Грязовецкий политехнический техникум», 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Отделение занятости населения по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Грязовецкому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муниципальному округу,  БУЗ ВО «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Грязовецкая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ЦРБ».</w:t>
      </w:r>
    </w:p>
    <w:p w:rsidR="00595601" w:rsidRPr="004652A4" w:rsidRDefault="00595601" w:rsidP="00DD5EB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Реализация мероприятий Комплекса мер позволит достичь следующих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результатов:</w:t>
      </w:r>
    </w:p>
    <w:p w:rsidR="00595601" w:rsidRPr="004652A4" w:rsidRDefault="00595601" w:rsidP="00DD5EB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создать единую систему </w:t>
      </w:r>
      <w:proofErr w:type="spellStart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профориентационной</w:t>
      </w:r>
      <w:proofErr w:type="spellEnd"/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работы, ориентированную 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 конкретную кадровую ситуацию в округе;</w:t>
      </w:r>
    </w:p>
    <w:p w:rsidR="00595601" w:rsidRPr="004652A4" w:rsidRDefault="00595601" w:rsidP="00DD5EB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создать условия для закрепления в округе молодых квалифицированных 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кадров;</w:t>
      </w:r>
    </w:p>
    <w:p w:rsidR="00595601" w:rsidRPr="004652A4" w:rsidRDefault="00595601" w:rsidP="00DD5EBE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повысить профессиональный уровень кадров органов местного </w:t>
      </w:r>
      <w:r w:rsidR="00DD5EB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4652A4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самоуправления округа, предприятий  и  учреждений округа.</w:t>
      </w:r>
    </w:p>
    <w:p w:rsidR="00595601" w:rsidRPr="004652A4" w:rsidRDefault="00595601" w:rsidP="00DD5EBE">
      <w:pPr>
        <w:widowControl w:val="0"/>
        <w:suppressAutoHyphens w:val="0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AC" w:rsidRDefault="006929AC" w:rsidP="00DD5EBE">
      <w:pPr>
        <w:spacing w:line="276" w:lineRule="auto"/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bookmarkStart w:id="1" w:name="_GoBack"/>
      <w:bookmarkEnd w:id="1"/>
    </w:p>
    <w:sectPr w:rsidR="006929AC" w:rsidSect="001E1DE1">
      <w:headerReference w:type="default" r:id="rId12"/>
      <w:pgSz w:w="11906" w:h="16838"/>
      <w:pgMar w:top="426" w:right="624" w:bottom="1134" w:left="1701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F9" w:rsidRDefault="005A5DF9">
      <w:r>
        <w:separator/>
      </w:r>
    </w:p>
  </w:endnote>
  <w:endnote w:type="continuationSeparator" w:id="0">
    <w:p w:rsidR="005A5DF9" w:rsidRDefault="005A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F9" w:rsidRDefault="005A5DF9">
      <w:r>
        <w:separator/>
      </w:r>
    </w:p>
  </w:footnote>
  <w:footnote w:type="continuationSeparator" w:id="0">
    <w:p w:rsidR="005A5DF9" w:rsidRDefault="005A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8178056"/>
      <w:docPartObj>
        <w:docPartGallery w:val="Page Numbers (Top of Page)"/>
        <w:docPartUnique/>
      </w:docPartObj>
    </w:sdtPr>
    <w:sdtContent>
      <w:p w:rsidR="000F08B8" w:rsidRDefault="000F08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BE">
          <w:rPr>
            <w:noProof/>
          </w:rPr>
          <w:t>2</w:t>
        </w:r>
        <w:r>
          <w:fldChar w:fldCharType="end"/>
        </w:r>
      </w:p>
    </w:sdtContent>
  </w:sdt>
  <w:p w:rsidR="000F08B8" w:rsidRDefault="000F08B8">
    <w:pPr>
      <w:spacing w:after="20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0F08B8" w:rsidRDefault="000F08B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BE">
          <w:rPr>
            <w:noProof/>
          </w:rPr>
          <w:t>12</w:t>
        </w:r>
        <w:r>
          <w:fldChar w:fldCharType="end"/>
        </w:r>
      </w:p>
    </w:sdtContent>
  </w:sdt>
  <w:p w:rsidR="000F08B8" w:rsidRDefault="000F08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1279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08B8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1DE1"/>
    <w:rsid w:val="001E35B4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6DA3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4D9E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4E8A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652A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5601"/>
    <w:rsid w:val="00596715"/>
    <w:rsid w:val="005A22ED"/>
    <w:rsid w:val="005A5DF9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29AC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2F9F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39E1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0F14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0AF1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0E38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3F80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5E8E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2ECE"/>
    <w:rsid w:val="00D13151"/>
    <w:rsid w:val="00D1436A"/>
    <w:rsid w:val="00D172F1"/>
    <w:rsid w:val="00D207A8"/>
    <w:rsid w:val="00D22F0E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5EB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5C9F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0763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559F-8661-44E5-A976-40BD45FB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2024-02-29T07:46:00Z</cp:lastPrinted>
  <dcterms:created xsi:type="dcterms:W3CDTF">2024-03-01T11:54:00Z</dcterms:created>
  <dcterms:modified xsi:type="dcterms:W3CDTF">2024-03-04T07:55:00Z</dcterms:modified>
  <dc:language>ru-RU</dc:language>
</cp:coreProperties>
</file>