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41CF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141CF3">
              <w:rPr>
                <w:rFonts w:ascii="Liberation Serif" w:hAnsi="Liberation Serif"/>
                <w:sz w:val="26"/>
                <w:szCs w:val="26"/>
              </w:rPr>
              <w:t>22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2D2D" w:rsidRDefault="00512D2D" w:rsidP="00512D2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Об утверждении Перечня мест для проведения ярмарок </w:t>
      </w:r>
    </w:p>
    <w:p w:rsidR="00512D2D" w:rsidRPr="00512D2D" w:rsidRDefault="00512D2D" w:rsidP="00512D2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  <w:r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н</w:t>
      </w:r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а</w:t>
      </w:r>
      <w:r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 </w:t>
      </w:r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территории Грязовецкого муниципального округа</w:t>
      </w:r>
      <w:r w:rsidRPr="00512D2D">
        <w:rPr>
          <w:rFonts w:ascii="Liberation Serif" w:eastAsia="Arial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  <w:t xml:space="preserve"> Вологодской области</w:t>
      </w:r>
    </w:p>
    <w:p w:rsidR="00512D2D" w:rsidRPr="00512D2D" w:rsidRDefault="00512D2D" w:rsidP="00512D2D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Arial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</w:p>
    <w:p w:rsidR="00512D2D" w:rsidRPr="00512D2D" w:rsidRDefault="00512D2D" w:rsidP="00512D2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Правительства Вол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огодской области от 19.04.2010 № 437                «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утверждении порядка организации ярмарок и требований к организации продажи товаров на них на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территории Вологодской области»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постановлением администрации Грязовецкого муниципального округа от 14.02.2023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262 «Об утверждении Порядка формирования Перечня мест для проведения ярмарок на территории</w:t>
      </w:r>
      <w:proofErr w:type="gramEnd"/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Вологодской области»</w:t>
      </w:r>
    </w:p>
    <w:p w:rsidR="00512D2D" w:rsidRPr="00512D2D" w:rsidRDefault="00512D2D" w:rsidP="00512D2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2D2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12D2D" w:rsidRPr="00512D2D" w:rsidRDefault="00512D2D" w:rsidP="00512D2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Перечень мест для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проведения ярмарок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 муниципального округа Вологодской области согласно приложению.</w:t>
      </w:r>
    </w:p>
    <w:p w:rsidR="00512D2D" w:rsidRPr="00512D2D" w:rsidRDefault="00512D2D" w:rsidP="00512D2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 следующие постановления администрации Грязовецкого муниципального района:</w:t>
      </w:r>
    </w:p>
    <w:p w:rsidR="00512D2D" w:rsidRPr="00512D2D" w:rsidRDefault="00512D2D" w:rsidP="00512D2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24 декабря  2010 г. № 730 «Об утверждении перечня мест для организации ярмарок на территории Грязовецкого муниципального района»;</w:t>
      </w:r>
    </w:p>
    <w:p w:rsidR="00512D2D" w:rsidRPr="00512D2D" w:rsidRDefault="00512D2D" w:rsidP="00512D2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10 июня 2020 г.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271 «О внесении изменений в постановление администрации района от 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2010 г. № 730 «Об утверждении перечня мест для организации ярмарок на территории Грязовецкого муниципального района»;</w:t>
      </w:r>
    </w:p>
    <w:p w:rsidR="00512D2D" w:rsidRPr="00512D2D" w:rsidRDefault="00512D2D" w:rsidP="00512D2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 июля 2022 г.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385 «О внесении изменений в постановление администрации района от 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2010 г. № 730 «Об утверждении перечня мест для организации ярмарок на территории Грязовецкого муниципального района»;</w:t>
      </w:r>
    </w:p>
    <w:p w:rsidR="00512D2D" w:rsidRPr="00512D2D" w:rsidRDefault="00512D2D" w:rsidP="00512D2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Грязовецкого муниципального округа Крутикову Л.Н.</w:t>
      </w:r>
    </w:p>
    <w:p w:rsidR="00512D2D" w:rsidRPr="00512D2D" w:rsidRDefault="00512D2D" w:rsidP="00512D2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 в информаци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онно-телекоммуникационной сети «Интернет»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вс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тупает в силу с момента его подписания</w:t>
      </w:r>
      <w:r w:rsidRPr="00512D2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12D2D" w:rsidRPr="00512D2D" w:rsidRDefault="00512D2D" w:rsidP="00512D2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4222FC" w:rsidRDefault="007028B3" w:rsidP="00BC71EC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12D2D" w:rsidRPr="00512D2D" w:rsidRDefault="00512D2D" w:rsidP="00512D2D">
      <w:pPr>
        <w:widowControl w:val="0"/>
        <w:shd w:val="clear" w:color="auto" w:fill="FFFFFF"/>
        <w:suppressAutoHyphens w:val="0"/>
        <w:autoSpaceDN w:val="0"/>
        <w:spacing w:line="100" w:lineRule="atLeast"/>
        <w:ind w:firstLine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12D2D"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>УТВЕРЖДЁН</w:t>
      </w:r>
    </w:p>
    <w:p w:rsidR="00512D2D" w:rsidRDefault="00512D2D" w:rsidP="00512D2D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12D2D"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постановлением администрации </w:t>
      </w:r>
      <w:r w:rsidRPr="00512D2D"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  <w:br/>
        <w:t xml:space="preserve">Грязовецкого муниципального округа </w:t>
      </w:r>
    </w:p>
    <w:p w:rsidR="00512D2D" w:rsidRPr="00512D2D" w:rsidRDefault="00512D2D" w:rsidP="00512D2D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  <w:t>от 01.03.2024 № 522</w:t>
      </w:r>
    </w:p>
    <w:p w:rsidR="00512D2D" w:rsidRPr="00512D2D" w:rsidRDefault="00512D2D" w:rsidP="00512D2D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Tahoma"/>
          <w:kern w:val="3"/>
          <w:sz w:val="24"/>
          <w:szCs w:val="24"/>
          <w:lang w:eastAsia="zh-CN" w:bidi="hi-IN"/>
        </w:rPr>
      </w:pPr>
      <w:r w:rsidRPr="00512D2D">
        <w:rPr>
          <w:rFonts w:ascii="Liberation Serif" w:eastAsia="Andale Sans UI" w:hAnsi="Liberation Serif" w:cs="Liberation Serif"/>
          <w:kern w:val="3"/>
          <w:sz w:val="24"/>
          <w:szCs w:val="24"/>
          <w:lang w:eastAsia="zh-CN" w:bidi="hi-IN"/>
        </w:rPr>
        <w:t>(приложение)</w:t>
      </w:r>
    </w:p>
    <w:p w:rsidR="00512D2D" w:rsidRPr="00512D2D" w:rsidRDefault="00512D2D" w:rsidP="00512D2D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hyperlink r:id="rId11" w:history="1"/>
    </w:p>
    <w:p w:rsidR="00512D2D" w:rsidRPr="00512D2D" w:rsidRDefault="00512D2D" w:rsidP="00512D2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512D2D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П</w:t>
      </w:r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еречень мест для проведения ярмарок </w:t>
      </w:r>
      <w:proofErr w:type="gramStart"/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на</w:t>
      </w:r>
      <w:proofErr w:type="gramEnd"/>
    </w:p>
    <w:p w:rsidR="00512D2D" w:rsidRPr="00512D2D" w:rsidRDefault="00512D2D" w:rsidP="00512D2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4"/>
          <w:szCs w:val="24"/>
          <w:lang w:eastAsia="zh-CN" w:bidi="hi-IN"/>
        </w:rPr>
      </w:pPr>
      <w:r w:rsidRPr="00512D2D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территории Грязовецкого муниципального округа</w:t>
      </w:r>
      <w:r w:rsidRPr="00512D2D">
        <w:rPr>
          <w:rFonts w:ascii="Liberation Serif" w:eastAsia="Arial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Вологодской области</w:t>
      </w:r>
    </w:p>
    <w:p w:rsidR="00512D2D" w:rsidRPr="00512D2D" w:rsidRDefault="00512D2D" w:rsidP="00512D2D">
      <w:pPr>
        <w:widowControl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0159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1520"/>
        <w:gridCol w:w="1532"/>
        <w:gridCol w:w="1207"/>
        <w:gridCol w:w="1966"/>
        <w:gridCol w:w="1087"/>
        <w:gridCol w:w="1422"/>
      </w:tblGrid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proofErr w:type="spellStart"/>
            <w:proofErr w:type="gram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Наимено-вание</w:t>
            </w:r>
            <w:proofErr w:type="spellEnd"/>
            <w:proofErr w:type="gram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террито-риального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управления 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админи-страции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Грязовец-кого 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муници-пального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proofErr w:type="gram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Вид места (здание, сооружение (часть здания, сооружения), земельный участок (часть земельного участка),  собственник</w:t>
            </w:r>
            <w:proofErr w:type="gramEnd"/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Место проведения</w:t>
            </w:r>
          </w:p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(адрес)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Площадь</w:t>
            </w:r>
          </w:p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proofErr w:type="gram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(кв. м) места, на которой могут проводиться ярмарки</w:t>
            </w:r>
            <w:proofErr w:type="gramEnd"/>
          </w:p>
        </w:tc>
        <w:tc>
          <w:tcPr>
            <w:tcW w:w="196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Тип ярмарки (</w:t>
            </w:r>
            <w:proofErr w:type="spellStart"/>
            <w:proofErr w:type="gram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специализиро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-ванная</w:t>
            </w:r>
            <w:proofErr w:type="gram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(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продовольст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-венные товары, промышленные товары, 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сельскохозяйст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-венная продукция) или универсальная)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proofErr w:type="spellStart"/>
            <w:proofErr w:type="gram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Количе-ство</w:t>
            </w:r>
            <w:proofErr w:type="spellEnd"/>
            <w:proofErr w:type="gram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 торговых мест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</w:pPr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 xml:space="preserve">Сроки проведения ярмарки (ярмарка выходного дня, постоянная и </w:t>
            </w:r>
            <w:proofErr w:type="spellStart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тд</w:t>
            </w:r>
            <w:proofErr w:type="spellEnd"/>
            <w:r w:rsidRPr="00512D2D">
              <w:rPr>
                <w:rFonts w:ascii="Liberation Serif" w:eastAsia="Arial" w:hAnsi="Liberation Serif" w:cs="Liberation Serif"/>
                <w:b/>
                <w:bCs/>
                <w:color w:val="00000A"/>
                <w:kern w:val="3"/>
                <w:sz w:val="22"/>
                <w:szCs w:val="22"/>
                <w:lang w:eastAsia="ar-SA" w:bidi="hi-IN"/>
              </w:rPr>
              <w:t>.)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Часть земельного участка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Центральная часть города (часть ул. Карла Маркса  от ул. Ленина до ул. Революционная, ул.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Комсомоль-ская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от ул. Ленина до ул.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Революци-онной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ул. Победы от ул.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Комсомоль-ской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до ул. Обнорского, ул. Ленина от  ул.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Комсомоль-ской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до ул. Обнорского)  </w:t>
            </w:r>
            <w:proofErr w:type="gramEnd"/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1500</w:t>
            </w:r>
          </w:p>
        </w:tc>
        <w:tc>
          <w:tcPr>
            <w:tcW w:w="1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250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Первая суббота июля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Часть земельного участка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Площадь перед зданием БУК «КДЦ», г. Грязовец, ул. Карла Маркса, д. 46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360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</w:t>
            </w: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Часть земельного участка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Площадь перед  ТЦ «Мельница» г. Грязовец, ул. </w:t>
            </w: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Ленина, д. 132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Часть земельного участка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Площадь перед зданием гостиницы «Грязовец» г. Грязовец, ул. Румянцевой, д. 28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Спортивный стадион, п. Вохтога, ул. Юбилейная, 21а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Вторник, Среда, суббота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ТУ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Комьянское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Грязовецко-го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Часть земельного участка с кадастровым номером: 35:28:02010810:87 прилегающая к зданию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Комьянского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ДК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Центральная площадь, д.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Хорошево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, ул. </w:t>
            </w:r>
            <w:proofErr w:type="spellStart"/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Сосно-вая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, д. 2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1000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Приурочен-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ная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к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празднич-ным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датам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ТУ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Комьянское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Грязовецко-го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Часть земельного участка с кадастровым номером:</w:t>
            </w:r>
          </w:p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35:28:0301027:105 </w:t>
            </w:r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прилегающая</w:t>
            </w:r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к зданию ДК п.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Бушуиха</w:t>
            </w:r>
            <w:proofErr w:type="spellEnd"/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Площадь перед зданием  п. 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Бушуиха</w:t>
            </w:r>
            <w:proofErr w:type="spell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, ул. </w:t>
            </w:r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Централь-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ная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, д. 9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500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spacing w:line="288" w:lineRule="auto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</w:pPr>
            <w:proofErr w:type="gram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Приурочен-</w:t>
            </w:r>
            <w:proofErr w:type="spellStart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>ная</w:t>
            </w:r>
            <w:proofErr w:type="spellEnd"/>
            <w:proofErr w:type="gramEnd"/>
            <w:r w:rsidRPr="00512D2D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bidi="hi-IN"/>
              </w:rPr>
              <w:t xml:space="preserve"> к праздничным датам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д. Слобода, площадь у административного здания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Постоянная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д. Слобода, площадь у Дома культуры</w:t>
            </w:r>
          </w:p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д. Слобода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д. Фрол, площадь у Дома культуры д. Фрол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Жерноко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-во, площадь у Дома  культуры 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Жерноково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-во, ул. Молодежная, д. 4, площадь у Дома  культуры 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Ростиловово</w:t>
            </w:r>
            <w:proofErr w:type="spellEnd"/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300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п. </w:t>
            </w:r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Плоское</w:t>
            </w:r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ул. Школьная, д. 8, площадь у бывшего детского сада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3000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Вараксино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д. 63, площадь у дома  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с. Сидорово, ул. Советская, д.15, площадь  напротив бывшего здания администрации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Анохино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ул. Центральная, д.42, площадь  у здания администрации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</w:t>
            </w: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ул. Центральная, д.2, </w:t>
            </w: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центральная площадь 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у здания администрации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ул. Центральная, д.1, площадь у Юровского СДК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Скородумка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ул. Центральная, д. 47, площадь 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Чернецкого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СДК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Минькино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ул. Новая, д.61, площадь 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Минькинского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СДК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  <w:tr w:rsidR="00512D2D" w:rsidRPr="00512D2D" w:rsidTr="00512D2D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ТУ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Грязовецко-го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муници-пального</w:t>
            </w:r>
            <w:proofErr w:type="spellEnd"/>
            <w:proofErr w:type="gram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5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Земельный участок</w:t>
            </w:r>
          </w:p>
        </w:tc>
        <w:tc>
          <w:tcPr>
            <w:tcW w:w="1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д. </w:t>
            </w:r>
            <w:proofErr w:type="spellStart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Юрово</w:t>
            </w:r>
            <w:proofErr w:type="spellEnd"/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старинный парк</w:t>
            </w:r>
          </w:p>
        </w:tc>
        <w:tc>
          <w:tcPr>
            <w:tcW w:w="1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130</w:t>
            </w:r>
          </w:p>
        </w:tc>
        <w:tc>
          <w:tcPr>
            <w:tcW w:w="1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Универсальная ярмарка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14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02" w:type="dxa"/>
              <w:left w:w="59" w:type="dxa"/>
              <w:bottom w:w="102" w:type="dxa"/>
              <w:right w:w="62" w:type="dxa"/>
            </w:tcMar>
          </w:tcPr>
          <w:p w:rsidR="00512D2D" w:rsidRPr="00512D2D" w:rsidRDefault="00512D2D" w:rsidP="00512D2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2D2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Ярмарка выходного дня</w:t>
            </w:r>
          </w:p>
        </w:tc>
      </w:tr>
    </w:tbl>
    <w:p w:rsidR="00512D2D" w:rsidRPr="00512D2D" w:rsidRDefault="00512D2D" w:rsidP="00512D2D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bCs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71EC" w:rsidRPr="00512D2D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512D2D" w:rsidRDefault="00512D2D" w:rsidP="00512D2D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512D2D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20" w:rsidRDefault="00E05820">
      <w:r>
        <w:separator/>
      </w:r>
    </w:p>
  </w:endnote>
  <w:endnote w:type="continuationSeparator" w:id="0">
    <w:p w:rsidR="00E05820" w:rsidRDefault="00E0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20" w:rsidRDefault="00E05820">
      <w:r>
        <w:separator/>
      </w:r>
    </w:p>
  </w:footnote>
  <w:footnote w:type="continuationSeparator" w:id="0">
    <w:p w:rsidR="00E05820" w:rsidRDefault="00E0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2D">
          <w:rPr>
            <w:noProof/>
          </w:rPr>
          <w:t>4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1CF3"/>
    <w:rsid w:val="001421DD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2D2D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820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#Par3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5B58-037D-4822-8936-F443519F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2024-03-05T08:16:00Z</cp:lastPrinted>
  <dcterms:created xsi:type="dcterms:W3CDTF">2024-03-05T08:59:00Z</dcterms:created>
  <dcterms:modified xsi:type="dcterms:W3CDTF">2024-03-05T10:52:00Z</dcterms:modified>
  <dc:language>ru-RU</dc:language>
</cp:coreProperties>
</file>