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9" w:rsidRDefault="008F1C07">
      <w:pPr>
        <w:pStyle w:val="Standard"/>
      </w:pPr>
      <w:r>
        <w:rPr>
          <w:rFonts w:cs="Liberation Serif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2857682</wp:posOffset>
            </wp:positionH>
            <wp:positionV relativeFrom="paragraph">
              <wp:posOffset>114482</wp:posOffset>
            </wp:positionV>
            <wp:extent cx="400680" cy="524518"/>
            <wp:effectExtent l="0" t="0" r="0" b="8882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0" cy="5245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a3"/>
        <w:rPr>
          <w:rFonts w:cs="Liberation Serif"/>
          <w:b w:val="0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8F1C07">
      <w:pPr>
        <w:pStyle w:val="a3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61B69" w:rsidRDefault="00661B69">
      <w:pPr>
        <w:pStyle w:val="1"/>
        <w:rPr>
          <w:rFonts w:cs="Liberation Serif"/>
        </w:rPr>
      </w:pPr>
    </w:p>
    <w:p w:rsidR="00661B69" w:rsidRDefault="008F1C07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61B69" w:rsidRDefault="00661B69">
      <w:pPr>
        <w:pStyle w:val="Standard"/>
        <w:rPr>
          <w:rFonts w:cs="Liberation Serif"/>
        </w:rPr>
      </w:pPr>
    </w:p>
    <w:p w:rsidR="00661B69" w:rsidRDefault="00661B69">
      <w:pPr>
        <w:pStyle w:val="a3"/>
        <w:rPr>
          <w:rFonts w:cs="Liberation Serif"/>
          <w:b w:val="0"/>
        </w:rPr>
      </w:pPr>
    </w:p>
    <w:p w:rsidR="00661B69" w:rsidRDefault="00661B69">
      <w:pPr>
        <w:pStyle w:val="Standard"/>
        <w:rPr>
          <w:rFonts w:cs="Liberation Serif"/>
          <w:sz w:val="26"/>
          <w:szCs w:val="26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61B6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B69" w:rsidRDefault="008F1C07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17.12.2024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B69" w:rsidRDefault="008F1C07">
            <w:pPr>
              <w:pStyle w:val="Standard"/>
              <w:snapToGrid w:val="0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1B69" w:rsidRDefault="008F1C07">
            <w:pPr>
              <w:pStyle w:val="Standard"/>
              <w:snapToGrid w:val="0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296</w:t>
            </w:r>
          </w:p>
        </w:tc>
      </w:tr>
    </w:tbl>
    <w:p w:rsidR="00661B69" w:rsidRDefault="008F1C07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8F1C07">
      <w:pPr>
        <w:pStyle w:val="Standard"/>
        <w:widowControl/>
        <w:jc w:val="center"/>
      </w:pPr>
      <w:bookmarkStart w:id="0" w:name="_GoBack"/>
      <w:r>
        <w:rPr>
          <w:rFonts w:cs="Liberation Serif"/>
          <w:b/>
          <w:bCs/>
          <w:sz w:val="26"/>
          <w:szCs w:val="26"/>
        </w:rPr>
        <w:t xml:space="preserve">Об утверждении Порядка поощрения муниципальной </w:t>
      </w:r>
      <w:r>
        <w:rPr>
          <w:rFonts w:cs="Liberation Serif"/>
          <w:b/>
          <w:bCs/>
          <w:sz w:val="26"/>
          <w:szCs w:val="26"/>
        </w:rPr>
        <w:t xml:space="preserve">управленческой команды  </w:t>
      </w:r>
    </w:p>
    <w:p w:rsidR="00661B69" w:rsidRDefault="008F1C07">
      <w:pPr>
        <w:pStyle w:val="Standard"/>
        <w:widowControl/>
        <w:jc w:val="center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Грязовецкого муниципального округа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</w:t>
      </w:r>
      <w:r>
        <w:rPr>
          <w:rFonts w:cs="Liberation Serif"/>
          <w:b/>
          <w:bCs/>
          <w:sz w:val="26"/>
          <w:szCs w:val="26"/>
        </w:rPr>
        <w:t>ъектов Российской Федерации за счет средств межбюджетных трансфертов</w:t>
      </w:r>
    </w:p>
    <w:bookmarkEnd w:id="0"/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661B69">
      <w:pPr>
        <w:pStyle w:val="Standard"/>
        <w:rPr>
          <w:rFonts w:cs="Liberation Serif"/>
          <w:sz w:val="22"/>
          <w:szCs w:val="22"/>
        </w:rPr>
      </w:pPr>
    </w:p>
    <w:p w:rsidR="00661B69" w:rsidRDefault="008F1C07">
      <w:pPr>
        <w:tabs>
          <w:tab w:val="left" w:pos="9712"/>
        </w:tabs>
        <w:ind w:firstLine="709"/>
        <w:jc w:val="both"/>
      </w:pPr>
      <w:r>
        <w:rPr>
          <w:sz w:val="26"/>
          <w:szCs w:val="26"/>
        </w:rPr>
        <w:t xml:space="preserve"> В соответствии с постановлением Правительства Вологодской области  от  28 октября 2024 года  № 1259 «Об утверждении  Порядка поощрения  региональной и муниципальных управленческих </w:t>
      </w:r>
      <w:r>
        <w:rPr>
          <w:sz w:val="26"/>
          <w:szCs w:val="26"/>
        </w:rPr>
        <w:t>команд за достижение показателей  деятельности исполнительных органов субъектов Российской Федерации», Правилами предоставления и расходования иных межбюджетных трансфертов, имеющих целевое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 назначение, из областного бюджета бюджетам муниципальных образован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ий области  на поощрение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Федерации, утвержденными   постановлением Правительства Вологодской области от 27 мая 2019 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года № 491 «О государственной программе «Создание условий для развития гражданского общества и потенциала молодежи в Вологодской области» (с последующими изменениями), Законом Вологодской области от 18 декабря 2023 года  № 5491-ОЗ «Об областном бюджете на 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2024 год и плановый период 2025 и 2026 годов» (с изменениями)</w:t>
      </w:r>
      <w:r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>
        <w:rPr>
          <w:rFonts w:eastAsia="Times New Roman" w:cs="Liberation Serif"/>
          <w:b/>
          <w:bCs/>
          <w:color w:val="auto"/>
          <w:sz w:val="26"/>
          <w:szCs w:val="26"/>
          <w:lang w:bidi="ar-SA"/>
        </w:rPr>
        <w:t xml:space="preserve">            </w:t>
      </w:r>
    </w:p>
    <w:p w:rsidR="00661B69" w:rsidRDefault="008F1C07">
      <w:pPr>
        <w:pStyle w:val="Standard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61B69" w:rsidRDefault="008F1C07">
      <w:pPr>
        <w:widowControl/>
        <w:numPr>
          <w:ilvl w:val="0"/>
          <w:numId w:val="1"/>
        </w:numPr>
        <w:autoSpaceDE w:val="0"/>
        <w:ind w:left="0"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Утвердить прилагаемый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Порядок поощрения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  муниципальной управленческой команды Грязовецкого муниципального округа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за содействие достижению значений (уровней)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показателе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межбюджетных трансфертов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.</w:t>
      </w:r>
    </w:p>
    <w:p w:rsidR="00661B69" w:rsidRDefault="008F1C07">
      <w:pPr>
        <w:widowControl/>
        <w:numPr>
          <w:ilvl w:val="0"/>
          <w:numId w:val="1"/>
        </w:numPr>
        <w:autoSpaceDE w:val="0"/>
        <w:ind w:left="0"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В соответствии с решением Земского Собрания Грязовец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кого муниципального округа от 27 октября 2024 года № 38 «Об утверждении Положений об оплате труда в органах местного самоуправления Грязовецкого муниципального округа» в срок до 25 декабря 2024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lastRenderedPageBreak/>
        <w:t>года руководителям органов местного самоуправления Грязовецког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 муниципального округа, отраслевых (функциональных) и территориальных органов администрации Грязовецкого муниципального округа обеспечить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 xml:space="preserve"> подготовку и принятие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нормативных правовых актов: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о выплате премии 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(премии за выполнение особо важных и сложных задан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ий) по лицам, замещающим муниципальные должности;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kern w:val="0"/>
          <w:sz w:val="26"/>
          <w:szCs w:val="26"/>
          <w:lang w:eastAsia="ru-RU" w:bidi="ar-SA"/>
        </w:rPr>
        <w:t>о выплате премии (премии за выполнение особо важных и сложных заданий) по лицам, замещающим должности муниципальной службы;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kern w:val="0"/>
          <w:sz w:val="26"/>
          <w:szCs w:val="26"/>
          <w:lang w:eastAsia="ru-RU" w:bidi="ar-SA"/>
        </w:rPr>
        <w:t xml:space="preserve">о выплате премии (дополнительной ежемесячной премии) по работникам, не являющихся 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муниципальными служащими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.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3.  Руководителям органов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округа, отраслевых (функциональных) и территориальных органов администрации Грязовецкого муниципального округа 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в срок до 28 декабря 2024 года обеспечит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ь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выплату премий  согласно настоящему постановлению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лицам, замещающим 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муниципальные должности, должности муниципальной службы, работникам, не являющимися муниципальными служащими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в пределах средств, предусмотренных  на указанные цели,  за счет средств  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ино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го межбюджетного трансферта на поощрение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едерации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4. Контроль за исполнением настоящего постановления возложить на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заместителя главы Грязовецкого муниципального округа по финансам, начальника Управления финансов администрации Грязовецкого муниципального округа Н.А. Кузнецову. 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5.   Настоящее постановление вступает в силу со дня его подписания.</w:t>
      </w:r>
    </w:p>
    <w:p w:rsidR="00661B69" w:rsidRDefault="00661B69">
      <w:pPr>
        <w:ind w:firstLine="851"/>
        <w:jc w:val="both"/>
        <w:textAlignment w:val="auto"/>
        <w:rPr>
          <w:rFonts w:eastAsia="Andale Sans UI" w:cs="Liberation Serif"/>
          <w:color w:val="auto"/>
          <w:sz w:val="26"/>
          <w:szCs w:val="26"/>
          <w:lang w:bidi="ar-SA"/>
        </w:rPr>
      </w:pPr>
    </w:p>
    <w:p w:rsidR="00661B69" w:rsidRDefault="00661B69">
      <w:pPr>
        <w:pStyle w:val="Standard"/>
        <w:jc w:val="both"/>
        <w:rPr>
          <w:rFonts w:cs="Liberation Serif"/>
          <w:sz w:val="26"/>
          <w:szCs w:val="26"/>
        </w:rPr>
      </w:pPr>
    </w:p>
    <w:p w:rsidR="00661B69" w:rsidRDefault="00661B69">
      <w:pPr>
        <w:pStyle w:val="Standard"/>
        <w:jc w:val="both"/>
        <w:rPr>
          <w:rFonts w:cs="Liberation Serif"/>
          <w:sz w:val="26"/>
          <w:szCs w:val="26"/>
        </w:rPr>
      </w:pPr>
    </w:p>
    <w:p w:rsidR="00661B69" w:rsidRDefault="008F1C07">
      <w:pPr>
        <w:pStyle w:val="Standard"/>
      </w:pPr>
      <w:r>
        <w:rPr>
          <w:rFonts w:cs="Liberation Serif"/>
          <w:sz w:val="26"/>
          <w:szCs w:val="26"/>
        </w:rPr>
        <w:t>Глава Грязовецкого му</w:t>
      </w:r>
      <w:r>
        <w:rPr>
          <w:rFonts w:cs="Liberation Serif"/>
          <w:sz w:val="26"/>
          <w:szCs w:val="26"/>
        </w:rPr>
        <w:t>ниципального округа                                                       Н.Н. Головчак</w:t>
      </w: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661B69">
      <w:pPr>
        <w:pStyle w:val="Standard"/>
        <w:rPr>
          <w:sz w:val="26"/>
          <w:szCs w:val="26"/>
        </w:rPr>
      </w:pPr>
    </w:p>
    <w:p w:rsidR="00661B69" w:rsidRDefault="008F1C07">
      <w:pPr>
        <w:pStyle w:val="Standard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Приложение</w:t>
      </w:r>
    </w:p>
    <w:p w:rsidR="00661B69" w:rsidRDefault="008F1C07">
      <w:pPr>
        <w:pStyle w:val="Standard"/>
        <w:ind w:left="5670"/>
        <w:jc w:val="both"/>
      </w:pPr>
      <w:r>
        <w:rPr>
          <w:sz w:val="26"/>
          <w:szCs w:val="26"/>
        </w:rPr>
        <w:t>Утверждено п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остановлением главы Грязовецкого муниципального округа </w:t>
      </w:r>
      <w:r>
        <w:rPr>
          <w:rFonts w:eastAsia="Andale Sans UI" w:cs="Liberation Serif"/>
          <w:color w:val="auto"/>
          <w:sz w:val="26"/>
          <w:szCs w:val="26"/>
          <w:lang w:bidi="ar-SA"/>
        </w:rPr>
        <w:t>от 17 декабря 2024 года № 296</w:t>
      </w:r>
    </w:p>
    <w:p w:rsidR="00661B69" w:rsidRDefault="00661B69">
      <w:pPr>
        <w:widowControl/>
        <w:autoSpaceDE w:val="0"/>
        <w:ind w:left="5103"/>
        <w:jc w:val="both"/>
        <w:textAlignment w:val="auto"/>
        <w:rPr>
          <w:rFonts w:eastAsia="Calibri" w:cs="Liberation Serif"/>
          <w:color w:val="auto"/>
          <w:kern w:val="0"/>
          <w:sz w:val="28"/>
          <w:szCs w:val="28"/>
          <w:lang w:eastAsia="ru-RU" w:bidi="ar-SA"/>
        </w:rPr>
      </w:pPr>
    </w:p>
    <w:p w:rsidR="00661B69" w:rsidRDefault="00661B69">
      <w:pPr>
        <w:widowControl/>
        <w:autoSpaceDE w:val="0"/>
        <w:ind w:left="5103"/>
        <w:jc w:val="both"/>
        <w:textAlignment w:val="auto"/>
        <w:rPr>
          <w:rFonts w:eastAsia="Calibri" w:cs="Liberation Serif"/>
          <w:color w:val="auto"/>
          <w:kern w:val="0"/>
          <w:sz w:val="28"/>
          <w:szCs w:val="28"/>
          <w:lang w:eastAsia="ru-RU" w:bidi="ar-SA"/>
        </w:rPr>
      </w:pP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>Порядок поощрения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 xml:space="preserve">  муниципальной управленческой команды </w:t>
      </w: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 xml:space="preserve">Грязовецкого муниципального округа 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>за содействие достижению значений</w:t>
      </w: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(уровней) 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 xml:space="preserve">показателей для оценки эффективности деятельности высших </w:t>
      </w: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 xml:space="preserve">должностных лиц субъектов Российской Федерации и деятельности </w:t>
      </w: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en-US" w:bidi="ar-SA"/>
        </w:rPr>
        <w:t>органов исполнительной власти субъектов Российской Федерации за счет межбюджетных трансфертов</w:t>
      </w: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(далее - Порядок)</w:t>
      </w:r>
    </w:p>
    <w:p w:rsidR="00661B69" w:rsidRDefault="00661B69">
      <w:pPr>
        <w:widowControl/>
        <w:autoSpaceDE w:val="0"/>
        <w:ind w:left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</w:pP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Настоящий По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рядок определяет порядок поощрения (премирования) муниципальной управленческой команды Грязовецкого муниципального округа (далее – муниципальная управленческая команда) за содействие достижению значений (уровней) показателей для оценки эффективности деятел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ьности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высших должностных лиц субъектов Российской Федерации и деятельности органов исполнительной власти субъектов Российской Федерации за счет межбюджетных трансфертов.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</w:t>
      </w:r>
    </w:p>
    <w:p w:rsidR="00661B69" w:rsidRDefault="008F1C07">
      <w:pPr>
        <w:jc w:val="center"/>
        <w:textAlignment w:val="auto"/>
        <w:rPr>
          <w:rFonts w:eastAsia="Andale Sans UI" w:cs="Liberation Serif"/>
          <w:color w:val="auto"/>
          <w:sz w:val="26"/>
          <w:szCs w:val="26"/>
          <w:lang w:eastAsia="ru-RU" w:bidi="ar-SA"/>
        </w:rPr>
      </w:pP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1. Общие положения</w:t>
      </w:r>
    </w:p>
    <w:p w:rsidR="00661B69" w:rsidRDefault="00661B69">
      <w:pPr>
        <w:ind w:firstLine="851"/>
        <w:jc w:val="both"/>
        <w:textAlignment w:val="auto"/>
        <w:rPr>
          <w:rFonts w:eastAsia="Andale Sans UI" w:cs="Liberation Serif"/>
          <w:color w:val="auto"/>
          <w:sz w:val="26"/>
          <w:szCs w:val="26"/>
          <w:lang w:eastAsia="ru-RU" w:bidi="ar-SA"/>
        </w:rPr>
      </w:pPr>
    </w:p>
    <w:p w:rsidR="00661B69" w:rsidRDefault="008F1C07">
      <w:pPr>
        <w:tabs>
          <w:tab w:val="left" w:pos="9712"/>
        </w:tabs>
        <w:ind w:firstLine="851"/>
        <w:jc w:val="both"/>
        <w:textAlignment w:val="auto"/>
      </w:pP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1.1. В целях настоящего Порядка  определение  муниципальной  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управленческой команды применяется в значении, указанном в   пункте 1.1 раздела 1 Правил  предоставления и расходования иных межбюджетных трансфертов муниципальным образованиям области  на поощрение за содействие достижению значений (уровней) показателей д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ля оценки эффективности деятельности высших должностных лиц 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трансфертов, предоставляемых из федерального бюджета за дос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>тижение показателей деятельности органов исполнительной власти субъектов Российской Федерации, утвержденными   постановлением Правительства Вологодской области от 27 мая 2019 года  № 491 «О государственной программе «Создание условий для развития гражданск</w:t>
      </w:r>
      <w:r>
        <w:rPr>
          <w:rFonts w:eastAsia="Andale Sans UI" w:cs="Liberation Serif"/>
          <w:color w:val="auto"/>
          <w:sz w:val="26"/>
          <w:szCs w:val="26"/>
          <w:lang w:eastAsia="ru-RU" w:bidi="ar-SA"/>
        </w:rPr>
        <w:t xml:space="preserve">ого общества и потенциала молодежи в Вологодской области» (с изменениями), </w:t>
      </w:r>
      <w:r>
        <w:rPr>
          <w:rFonts w:eastAsia="Andale Sans UI" w:cs="Liberation Serif"/>
          <w:color w:val="auto"/>
          <w:sz w:val="26"/>
          <w:szCs w:val="26"/>
          <w:lang w:bidi="ar-SA"/>
        </w:rPr>
        <w:t>на основании распоряжения главы Грязовецкого муниципального округа «О поощрении».</w:t>
      </w:r>
    </w:p>
    <w:p w:rsidR="00661B69" w:rsidRDefault="008F1C07">
      <w:pPr>
        <w:widowControl/>
        <w:ind w:firstLine="851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1.2. Общий объем средств на поощрение  муниципальной управленческой команды Грязовецкого муниципаль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ного округа устанавливается в соглашении, заключенном между Правительством Вологодской области и Грязовецким муниципальным округом Вологодской области о предоставлении иного межбюджетного трансферта Грязовецкому муниципальному   району  на поощрение за сод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средств межбюджетных трансферт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ов, предоставляемых из федерального бюджета за достижение показателей деятельности органов исполнительной власти субъектов Российской Федерации.</w:t>
      </w:r>
    </w:p>
    <w:p w:rsidR="00661B69" w:rsidRDefault="00661B69">
      <w:pPr>
        <w:widowControl/>
        <w:ind w:firstLine="851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ind w:firstLine="851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numPr>
          <w:ilvl w:val="0"/>
          <w:numId w:val="2"/>
        </w:numPr>
        <w:autoSpaceDE w:val="0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Порядок поощрения лиц, замещающих муниципальные должности, </w:t>
      </w: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должности муниципальной службы,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 xml:space="preserve"> работников, не яв</w:t>
      </w:r>
      <w:r>
        <w:rPr>
          <w:rFonts w:eastAsia="Calibri" w:cs="Liberation Serif"/>
          <w:kern w:val="0"/>
          <w:sz w:val="26"/>
          <w:szCs w:val="26"/>
          <w:lang w:eastAsia="ru-RU" w:bidi="ar-SA"/>
        </w:rPr>
        <w:t>ляющимися муниципальными служащими</w:t>
      </w:r>
    </w:p>
    <w:p w:rsidR="00661B69" w:rsidRDefault="00661B69">
      <w:pPr>
        <w:autoSpaceDE w:val="0"/>
        <w:ind w:firstLine="851"/>
        <w:jc w:val="both"/>
        <w:textAlignment w:val="auto"/>
        <w:rPr>
          <w:rFonts w:eastAsia="Andale Sans UI" w:cs="Liberation Serif"/>
          <w:color w:val="auto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851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2.1. Объем средств на поощрение по органам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округа, отраслевым (функциональным) и территориальным органам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за счет иного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межбюджетного трансферта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  определяется в соответствии  с Методикой  определения объема средств на поощрени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е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согласно приложению к настояще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му Порядку</w:t>
      </w:r>
      <w:r>
        <w:rPr>
          <w:rFonts w:eastAsia="Calibri" w:cs="Liberation Serif"/>
          <w:i/>
          <w:color w:val="auto"/>
          <w:kern w:val="0"/>
          <w:sz w:val="26"/>
          <w:szCs w:val="26"/>
          <w:lang w:eastAsia="ru-RU" w:bidi="ar-SA"/>
        </w:rPr>
        <w:t>.</w:t>
      </w:r>
    </w:p>
    <w:p w:rsidR="00661B69" w:rsidRDefault="008F1C07">
      <w:pPr>
        <w:widowControl/>
        <w:autoSpaceDE w:val="0"/>
        <w:ind w:firstLine="851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2.2. Поощрение работников органов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округа, отраслевых (функциональных) и территориальных органов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осуществляется:</w:t>
      </w:r>
    </w:p>
    <w:p w:rsidR="00661B69" w:rsidRDefault="008F1C07">
      <w:pPr>
        <w:widowControl/>
        <w:autoSpaceDE w:val="0"/>
        <w:ind w:firstLine="567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по лицам, замещающих муниципаль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ные должности и должности муниципальной службы, путем выплаты премии за выполнение особо важных и сложных заданий в соответствии с р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ешением Земского Собрания Грязовецкого муниципального округа от 27 октября 2024 года № 38 «Об утверждении Положений об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оплате труда в органах местного самоуправления Грязовецкого муниципального округа»;</w:t>
      </w:r>
    </w:p>
    <w:p w:rsidR="00661B69" w:rsidRDefault="008F1C07">
      <w:pPr>
        <w:widowControl/>
        <w:autoSpaceDE w:val="0"/>
        <w:ind w:firstLine="567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по работникам, не являющимися муниципальными служащими, путем выплаты дополнительной ежемесячной премии в соответствии с решением Земского Собрания Грязовецкого муниципальн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ого округа от 27 октября 2024 года № 38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«Об утверждении Положений об оплате труда в органах местного самоуправления Грязовецкого муниципального округа»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.</w:t>
      </w: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widowControl/>
        <w:autoSpaceDE w:val="0"/>
        <w:ind w:firstLine="56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left="5103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Приложение к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Порядку поощрения   муниципальной управленческой команды Грязовецкого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муниципального округа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ср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едств межбюджетных трансфертов</w:t>
      </w:r>
    </w:p>
    <w:p w:rsidR="00661B69" w:rsidRDefault="00661B69">
      <w:pPr>
        <w:widowControl/>
        <w:autoSpaceDE w:val="0"/>
        <w:ind w:left="567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>Методика определения объема средств на поощрение за содействие</w:t>
      </w: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</w:t>
      </w:r>
    </w:p>
    <w:p w:rsidR="00661B69" w:rsidRDefault="008F1C07">
      <w:pPr>
        <w:widowControl/>
        <w:autoSpaceDE w:val="0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>органов ис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полнительной власти субъектов Российской Федерации </w:t>
      </w: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(далее-Методика)</w:t>
      </w:r>
      <w:r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  <w:t xml:space="preserve"> </w:t>
      </w:r>
    </w:p>
    <w:p w:rsidR="00661B69" w:rsidRDefault="00661B69">
      <w:pPr>
        <w:widowControl/>
        <w:autoSpaceDE w:val="0"/>
        <w:ind w:left="567"/>
        <w:jc w:val="center"/>
        <w:textAlignment w:val="auto"/>
        <w:rPr>
          <w:rFonts w:eastAsia="Calibri" w:cs="Liberation Serif"/>
          <w:b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pStyle w:val="a5"/>
        <w:widowControl/>
        <w:numPr>
          <w:ilvl w:val="0"/>
          <w:numId w:val="3"/>
        </w:numPr>
        <w:autoSpaceDE w:val="0"/>
        <w:ind w:left="0"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 Определение объема средств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органам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округа, отраслевым (функциональным) и территориальным органам администрации Грязовецкого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муниципального округа на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поощрение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ии (далее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–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поощрение), осуществляется с учетом их вклада в достижение указанных показателей.</w:t>
      </w:r>
    </w:p>
    <w:p w:rsidR="00661B69" w:rsidRDefault="008F1C07">
      <w:pPr>
        <w:pStyle w:val="a5"/>
        <w:widowControl/>
        <w:numPr>
          <w:ilvl w:val="0"/>
          <w:numId w:val="3"/>
        </w:numPr>
        <w:autoSpaceDE w:val="0"/>
        <w:ind w:left="0"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Объем средств на поощрение </w:t>
      </w:r>
      <w:r>
        <w:rPr>
          <w:rFonts w:eastAsia="Calibri" w:cs="Liberation Serif"/>
          <w:color w:val="auto"/>
          <w:kern w:val="0"/>
          <w:sz w:val="26"/>
          <w:szCs w:val="26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-му органу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округа, отраслевому (функциональному) органу администрации Грязовецкого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(Пр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) определяется по формуле:</w:t>
      </w:r>
    </w:p>
    <w:p w:rsidR="00661B69" w:rsidRDefault="00661B69">
      <w:pPr>
        <w:widowControl/>
        <w:autoSpaceDE w:val="0"/>
        <w:ind w:left="720" w:firstLine="851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jc w:val="center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eastAsia="ru-RU" w:bidi="ar-SA"/>
        </w:rPr>
        <w:t xml:space="preserve"> 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= (∑О х 0,4 + (∑ Оуф х 0,2 + Ост)) х РК х ОТ, где</w:t>
      </w:r>
    </w:p>
    <w:p w:rsidR="00661B69" w:rsidRDefault="00661B69">
      <w:pPr>
        <w:widowControl/>
        <w:autoSpaceDE w:val="0"/>
        <w:ind w:left="720" w:firstLine="851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eastAsia="ru-RU" w:bidi="ar-SA"/>
        </w:rPr>
        <w:t xml:space="preserve">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 объем средств на поощрение </w:t>
      </w:r>
      <w:r>
        <w:rPr>
          <w:rFonts w:eastAsia="Calibri" w:cs="Liberation Serif"/>
          <w:color w:val="auto"/>
          <w:kern w:val="0"/>
          <w:sz w:val="26"/>
          <w:szCs w:val="26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-му органу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округа, отраслевому (функциональному) органу адм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руб., 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∑О – сумма должностных окладов соответствующего органа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 - администрации Грязовецкого муниципального округа, Контрольно-счетной палаты Грязовецког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о муниципального округа, отраслевого (функционального) органа администрации Грязовецкого муниципального округа -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Управления образования и молодежной политики администрации Грязовецкого муниципального округа, Управления имущественных и земельных отношений 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дминистрации Грязовецкого муниципального округа (без вакантных должностей) лиц, замещающих муниципальные должности,  должности муниципальной службы и работников, не являющихся муниципальными служащими, оказавших влияние на достижение субъектом Российской Ф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едерации сводного значения (уровня) показателей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соответствии с Указом Президента Российской Федер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ации «Об оценке эффективности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lastRenderedPageBreak/>
        <w:t>деятельности высших должностных лиц субъектов Российской Федерации и деятельности исполнительных органов субъектов Российской Федерации»,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∑ Оуф х 0,2 + Ост – сумма должностных окладов Управления финансов администрации Грязовец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кого муниципального округа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отраслевого (функционального) органа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(без вакантных должностей) и минимальный дораспределяемый остаток межбюджетного трансферта лиц, замещающих должности муниципальной службы и раб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отников, не являющихся муниципальными служащими, оказавших влияние на достижение субъектом Российской Федерации сводного значения (уровня) показателей эффективности деятельности высших должностных лиц субъектов Российской Федерации и деятельности органов и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сполнительной власти субъектов Российской Федерации в соответствии с Указом Президента Российской Федерации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ой Федерации»,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РК -  районный коэффициент,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ОТ –  размер страховых взносов на обязательное пенсионное, социальное и медицинское страхование, установленный Налоговым кодексом Российской (1,302). </w:t>
      </w:r>
    </w:p>
    <w:p w:rsidR="00661B69" w:rsidRDefault="008F1C07">
      <w:pPr>
        <w:pStyle w:val="a5"/>
        <w:widowControl/>
        <w:numPr>
          <w:ilvl w:val="0"/>
          <w:numId w:val="3"/>
        </w:numPr>
        <w:autoSpaceDE w:val="0"/>
        <w:ind w:left="0"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Объем средств на поощрение </w:t>
      </w:r>
      <w:r>
        <w:rPr>
          <w:rFonts w:eastAsia="Calibri" w:cs="Liberation Serif"/>
          <w:color w:val="auto"/>
          <w:kern w:val="0"/>
          <w:sz w:val="26"/>
          <w:szCs w:val="26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-му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 территориальному органу админ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истрации Грязовецкого муниципального округа (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Грязовецкому территориальному управлению администрации Грязовецкого муниципального округа, Вохтожскому территориальному управлению администрации Грязовецкого муниципального округа, Комьянскому территориальному у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правлению администрации Грязовецкого муниципального округа, Перцевскому территориальному управлению администрации Грязовецкого муниципального округа,  Ростиловскому территориальному управлению администрации Грязовецкого муниципального округа, Сидоровскому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территориальному управлению администрации Грязовецкого муниципального округа, Юровскому территориальному управлению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)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(Пр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) определяется по формуле:</w:t>
      </w:r>
    </w:p>
    <w:p w:rsidR="00661B69" w:rsidRDefault="00661B69">
      <w:pPr>
        <w:widowControl/>
        <w:autoSpaceDE w:val="0"/>
        <w:ind w:left="720"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709"/>
        <w:jc w:val="center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eastAsia="ru-RU" w:bidi="ar-SA"/>
        </w:rPr>
        <w:t xml:space="preserve"> 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= ∑О х 0,2 х РК х ОТ, где</w:t>
      </w:r>
    </w:p>
    <w:p w:rsidR="00661B69" w:rsidRDefault="00661B69">
      <w:pPr>
        <w:widowControl/>
        <w:autoSpaceDE w:val="0"/>
        <w:ind w:left="720" w:firstLine="709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vertAlign w:val="subscript"/>
          <w:lang w:eastAsia="ru-RU" w:bidi="ar-SA"/>
        </w:rPr>
        <w:t xml:space="preserve">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 объем средств на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поощрение </w:t>
      </w:r>
      <w:r>
        <w:rPr>
          <w:rFonts w:eastAsia="Calibri" w:cs="Liberation Serif"/>
          <w:color w:val="auto"/>
          <w:kern w:val="0"/>
          <w:sz w:val="26"/>
          <w:szCs w:val="26"/>
          <w:lang w:val="en-US" w:eastAsia="ru-RU" w:bidi="ar-SA"/>
        </w:rPr>
        <w:t>i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-му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 xml:space="preserve"> территориальному органу администрации Грязовецкого муниципального округа (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Грязовецкому территориальному управлению администрации Грязовецкого муниципального округа, Вохтожскому территориальному управлению администрации Грязовецкого муниципа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льного округа, Комьянскому территориальному управлению администрации Грязовецкого муниципального округа, Перцевскому территориальному управлению администрации Грязовецкого муниципального округа,  Ростиловскому территориальному управлению администрации Гряз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овецкого муниципального округа, Сидоровскому территориальному управлению администрации Грязовецкого муниципального округа, Юровскому территориальному управлению администрации Грязовецкого муниципального округа), руб.,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∑О – сумма должностных окладов соответ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ствующего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территориального органа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(без вакантных должностей) лиц, замещающих  должности муниципальной службы и работников органов местного самоуправления, не являющихся муниципальными служащими, оказавших вл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ияние на достижение субъектом Российской Федерации сводного значения (уровня) показателей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соответ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ствии с Указом Президента Российской Федерации «Об оценке эффективности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lastRenderedPageBreak/>
        <w:t>деятельности высших должностных лиц субъектов Российской Федерации и деятельности исполнительных органов субъектов Российской Федерации»,</w:t>
      </w:r>
    </w:p>
    <w:p w:rsidR="00661B69" w:rsidRDefault="008F1C07">
      <w:pPr>
        <w:widowControl/>
        <w:shd w:val="clear" w:color="auto" w:fill="FFFFFF"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РК -  районный коэффициент,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ОТ –  размер страх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овых взносов на обязательное пенсионное, социальное и медицинское страхование, установленный Налоговым кодексом Российской (1,302). 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4.  Общий объем средств на поощрение (премирование) в органах местного самоуправления Грязовецкого муниципального 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округа, о</w:t>
      </w:r>
      <w:r>
        <w:rPr>
          <w:rFonts w:eastAsia="Calibri" w:cs="Liberation Serif"/>
          <w:color w:val="auto"/>
          <w:kern w:val="0"/>
          <w:sz w:val="26"/>
          <w:szCs w:val="26"/>
          <w:lang w:eastAsia="en-US" w:bidi="ar-SA"/>
        </w:rPr>
        <w:t>траслевых (функциональных) и территориальных органах администрации Грязовецкого муниципального округа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(Пр) составит:</w:t>
      </w:r>
    </w:p>
    <w:p w:rsidR="00661B69" w:rsidRDefault="00661B69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709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= Пр гл + Пр пксп + Пр ксп + Пр адм + Пр уф + Пр уо + Пр уизо + Пр вту + Пргту + Пр кту + Пр пту + Пр рту + Пр сту + Пр юту, где</w:t>
      </w:r>
    </w:p>
    <w:p w:rsidR="00661B69" w:rsidRDefault="00661B69">
      <w:pPr>
        <w:widowControl/>
        <w:autoSpaceDE w:val="0"/>
        <w:ind w:firstLine="709"/>
        <w:jc w:val="center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гл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– объем средств на поощрение главы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пксп  -  объем средств на поощрение председателя Контрольно-счетной палаты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Пр ксп -  объем средств на поощрение Контрольно-счетной 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палаты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адм -  объем средств на поощрение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уф -  объем средств на поощрение Управления финансов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уо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 xml:space="preserve"> -  объем средств на поощрение Управления образования и молодежной политики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уизо -  объем средств на поощрение Управления имущественных и земельных отношений администрации Грязовецкого муниципальног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вту -  объем средств на поощрение Вохтожского территориального управления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гту -  объем средств на поощрение Грязовецкого территориального управления администрации Грязовецкого муни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кту -  объем средств на поощрение Комьянского территориального управления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пту -  объем средств на поощрение Перцевского территориального управления администрации Грязовецк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рту -  объем средств на поощрение Ростиловского территориального управления администрации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сту -  объем средств на поощрение Сидоровского территориального управления администраци</w:t>
      </w: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и Грязовецкого муниципального округа, руб.</w:t>
      </w:r>
    </w:p>
    <w:p w:rsidR="00661B69" w:rsidRDefault="008F1C07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  <w:r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  <w:t>Пр юту -  объем средств на поощрение Юровского территориального управления администрации Грязовецкого муниципального округа, руб.</w:t>
      </w:r>
    </w:p>
    <w:p w:rsidR="00661B69" w:rsidRDefault="00661B69">
      <w:pPr>
        <w:widowControl/>
        <w:autoSpaceDE w:val="0"/>
        <w:ind w:firstLine="709"/>
        <w:jc w:val="both"/>
        <w:textAlignment w:val="auto"/>
        <w:rPr>
          <w:rFonts w:eastAsia="Calibri" w:cs="Liberation Serif"/>
          <w:color w:val="auto"/>
          <w:kern w:val="0"/>
          <w:sz w:val="26"/>
          <w:szCs w:val="26"/>
          <w:lang w:eastAsia="ru-RU" w:bidi="ar-SA"/>
        </w:rPr>
      </w:pPr>
    </w:p>
    <w:p w:rsidR="00661B69" w:rsidRDefault="00661B69">
      <w:pPr>
        <w:ind w:firstLine="851"/>
        <w:jc w:val="both"/>
        <w:textAlignment w:val="auto"/>
        <w:rPr>
          <w:rFonts w:eastAsia="Andale Sans UI" w:cs="Liberation Serif"/>
          <w:color w:val="auto"/>
          <w:sz w:val="26"/>
          <w:szCs w:val="26"/>
          <w:lang w:bidi="ar-SA"/>
        </w:rPr>
      </w:pPr>
    </w:p>
    <w:p w:rsidR="00661B69" w:rsidRDefault="00661B69">
      <w:pPr>
        <w:pStyle w:val="Standard"/>
        <w:rPr>
          <w:rFonts w:cs="Liberation Serif"/>
          <w:sz w:val="26"/>
          <w:szCs w:val="26"/>
        </w:rPr>
      </w:pPr>
    </w:p>
    <w:sectPr w:rsidR="00661B69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1C07">
      <w:r>
        <w:separator/>
      </w:r>
    </w:p>
  </w:endnote>
  <w:endnote w:type="continuationSeparator" w:id="0">
    <w:p w:rsidR="00000000" w:rsidRDefault="008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1C07">
      <w:r>
        <w:separator/>
      </w:r>
    </w:p>
  </w:footnote>
  <w:footnote w:type="continuationSeparator" w:id="0">
    <w:p w:rsidR="00000000" w:rsidRDefault="008F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9FC"/>
    <w:multiLevelType w:val="multilevel"/>
    <w:tmpl w:val="BF362A9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1" w15:restartNumberingAfterBreak="0">
    <w:nsid w:val="2B797611"/>
    <w:multiLevelType w:val="multilevel"/>
    <w:tmpl w:val="6CB02B46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81" w:hanging="1080"/>
      </w:pPr>
    </w:lvl>
    <w:lvl w:ilvl="4">
      <w:start w:val="1"/>
      <w:numFmt w:val="decimal"/>
      <w:lvlText w:val="%1.%2.%3.%4.%5."/>
      <w:lvlJc w:val="left"/>
      <w:pPr>
        <w:ind w:left="1998" w:hanging="1080"/>
      </w:pPr>
    </w:lvl>
    <w:lvl w:ilvl="5">
      <w:start w:val="1"/>
      <w:numFmt w:val="decimal"/>
      <w:lvlText w:val="%1.%2.%3.%4.%5.%6."/>
      <w:lvlJc w:val="left"/>
      <w:pPr>
        <w:ind w:left="2475" w:hanging="1440"/>
      </w:pPr>
    </w:lvl>
    <w:lvl w:ilvl="6">
      <w:start w:val="1"/>
      <w:numFmt w:val="decimal"/>
      <w:lvlText w:val="%1.%2.%3.%4.%5.%6.%7."/>
      <w:lvlJc w:val="left"/>
      <w:pPr>
        <w:ind w:left="2952" w:hanging="1800"/>
      </w:pPr>
    </w:lvl>
    <w:lvl w:ilvl="7">
      <w:start w:val="1"/>
      <w:numFmt w:val="decimal"/>
      <w:lvlText w:val="%1.%2.%3.%4.%5.%6.%7.%8."/>
      <w:lvlJc w:val="left"/>
      <w:pPr>
        <w:ind w:left="3069" w:hanging="1800"/>
      </w:pPr>
    </w:lvl>
    <w:lvl w:ilvl="8">
      <w:start w:val="1"/>
      <w:numFmt w:val="decimal"/>
      <w:lvlText w:val="%1.%2.%3.%4.%5.%6.%7.%8.%9."/>
      <w:lvlJc w:val="left"/>
      <w:pPr>
        <w:ind w:left="3546" w:hanging="2160"/>
      </w:pPr>
    </w:lvl>
  </w:abstractNum>
  <w:abstractNum w:abstractNumId="2" w15:restartNumberingAfterBreak="0">
    <w:nsid w:val="4D5870F0"/>
    <w:multiLevelType w:val="multilevel"/>
    <w:tmpl w:val="F1BAFD94"/>
    <w:lvl w:ilvl="0">
      <w:start w:val="1"/>
      <w:numFmt w:val="decimal"/>
      <w:lvlText w:val="%1."/>
      <w:lvlJc w:val="left"/>
      <w:pPr>
        <w:ind w:left="1288" w:hanging="360"/>
      </w:pPr>
      <w:rPr>
        <w:rFonts w:eastAsia="Calibri" w:cs="Liberation Serif"/>
        <w:color w:val="auto"/>
        <w:sz w:val="26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61B69"/>
    <w:rsid w:val="00661B69"/>
    <w:rsid w:val="008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3413A-39F3-4B30-B30A-D167D74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a4"/>
    <w:pPr>
      <w:jc w:val="center"/>
    </w:pPr>
    <w:rPr>
      <w:b/>
      <w:bCs/>
      <w:w w:val="9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a"/>
    <w:pPr>
      <w:ind w:left="720"/>
    </w:pPr>
    <w:rPr>
      <w:rFonts w:cs="Mangal"/>
      <w:szCs w:val="21"/>
    </w:rPr>
  </w:style>
  <w:style w:type="character" w:customStyle="1" w:styleId="10">
    <w:name w:val="Заголовок 1 Знак"/>
    <w:basedOn w:val="a0"/>
    <w:rPr>
      <w:b/>
      <w:bCs/>
      <w:w w:val="90"/>
      <w:sz w:val="36"/>
    </w:rPr>
  </w:style>
  <w:style w:type="paragraph" w:styleId="a6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Татьяна Николаевна</dc:creator>
  <cp:lastModifiedBy>Анна Михайловна Веретьева</cp:lastModifiedBy>
  <cp:revision>2</cp:revision>
  <cp:lastPrinted>2024-12-18T05:50:00Z</cp:lastPrinted>
  <dcterms:created xsi:type="dcterms:W3CDTF">2024-12-27T12:51:00Z</dcterms:created>
  <dcterms:modified xsi:type="dcterms:W3CDTF">2024-12-27T12:51:00Z</dcterms:modified>
</cp:coreProperties>
</file>