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FA3D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24818" w:rsidP="000D2CF8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0D2CF8">
              <w:rPr>
                <w:rFonts w:cs="Liberation Serif"/>
                <w:sz w:val="26"/>
                <w:szCs w:val="26"/>
              </w:rPr>
              <w:t>5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</w:t>
      </w:r>
      <w:proofErr w:type="gramEnd"/>
      <w:r w:rsidR="00055F43">
        <w:rPr>
          <w:rFonts w:cs="Liberation Serif"/>
          <w:sz w:val="26"/>
          <w:szCs w:val="26"/>
        </w:rPr>
        <w:t xml:space="preserve">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февраля 202</w:t>
      </w:r>
      <w:r w:rsidR="00FA3DA7">
        <w:rPr>
          <w:rFonts w:cs="Liberation Serif"/>
          <w:sz w:val="26"/>
          <w:szCs w:val="26"/>
        </w:rPr>
        <w:t>5 года № 1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4268DE" w:rsidRDefault="004268DE" w:rsidP="000D2C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4268DE"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Грязовецкого муниципального округа за </w:t>
      </w:r>
      <w:r w:rsidR="000D2CF8" w:rsidRPr="000D2CF8">
        <w:rPr>
          <w:rFonts w:ascii="Times New Roman" w:hAnsi="Times New Roman" w:cs="Times New Roman"/>
          <w:sz w:val="26"/>
          <w:szCs w:val="26"/>
          <w:lang w:bidi="hi-IN"/>
        </w:rPr>
        <w:t>большой личный вклад в развитие агропромышленного комплекса Грязовецкого муниципального округа и многолетний добросовестный труд</w:t>
      </w:r>
      <w:r w:rsidR="000D2CF8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proofErr w:type="spellStart"/>
      <w:r w:rsidR="000D2CF8">
        <w:rPr>
          <w:rFonts w:ascii="Times New Roman" w:hAnsi="Times New Roman"/>
          <w:sz w:val="26"/>
          <w:szCs w:val="26"/>
        </w:rPr>
        <w:t>Сизова</w:t>
      </w:r>
      <w:proofErr w:type="spellEnd"/>
      <w:r w:rsidR="000D2CF8">
        <w:rPr>
          <w:rFonts w:ascii="Times New Roman" w:hAnsi="Times New Roman"/>
          <w:sz w:val="26"/>
          <w:szCs w:val="26"/>
        </w:rPr>
        <w:t xml:space="preserve"> Константина Владимировича, председателя сельскохозяйственного производственного кооператива «</w:t>
      </w:r>
      <w:proofErr w:type="spellStart"/>
      <w:r w:rsidR="000D2CF8">
        <w:rPr>
          <w:rFonts w:ascii="Times New Roman" w:hAnsi="Times New Roman"/>
          <w:sz w:val="26"/>
          <w:szCs w:val="26"/>
        </w:rPr>
        <w:t>Анохинский</w:t>
      </w:r>
      <w:proofErr w:type="spellEnd"/>
      <w:r w:rsidR="000D2CF8">
        <w:rPr>
          <w:rFonts w:ascii="Times New Roman" w:hAnsi="Times New Roman"/>
          <w:sz w:val="26"/>
          <w:szCs w:val="26"/>
        </w:rPr>
        <w:t>»</w:t>
      </w:r>
      <w:r w:rsidR="00170EDA">
        <w:rPr>
          <w:rFonts w:ascii="Times New Roman" w:hAnsi="Times New Roman"/>
          <w:sz w:val="26"/>
          <w:szCs w:val="26"/>
        </w:rPr>
        <w:t>.</w:t>
      </w:r>
      <w:bookmarkStart w:id="0" w:name="_GoBack"/>
      <w:bookmarkEnd w:id="0"/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3E" w:rsidRDefault="0059713E">
      <w:pPr>
        <w:spacing w:after="0" w:line="240" w:lineRule="auto"/>
      </w:pPr>
      <w:r>
        <w:separator/>
      </w:r>
    </w:p>
  </w:endnote>
  <w:endnote w:type="continuationSeparator" w:id="0">
    <w:p w:rsidR="0059713E" w:rsidRDefault="0059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3E" w:rsidRDefault="0059713E">
      <w:pPr>
        <w:spacing w:after="0" w:line="240" w:lineRule="auto"/>
      </w:pPr>
      <w:r>
        <w:separator/>
      </w:r>
    </w:p>
  </w:footnote>
  <w:footnote w:type="continuationSeparator" w:id="0">
    <w:p w:rsidR="0059713E" w:rsidRDefault="0059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1EA8"/>
    <w:rsid w:val="00055F43"/>
    <w:rsid w:val="000A31A2"/>
    <w:rsid w:val="000A452C"/>
    <w:rsid w:val="000C1398"/>
    <w:rsid w:val="000C47B4"/>
    <w:rsid w:val="000C7D1C"/>
    <w:rsid w:val="000D2CF8"/>
    <w:rsid w:val="00150823"/>
    <w:rsid w:val="00156A01"/>
    <w:rsid w:val="00170EDA"/>
    <w:rsid w:val="001A7F1C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3C25FF"/>
    <w:rsid w:val="0040034D"/>
    <w:rsid w:val="00410810"/>
    <w:rsid w:val="004268DE"/>
    <w:rsid w:val="00447CA9"/>
    <w:rsid w:val="00496D3C"/>
    <w:rsid w:val="00507DC1"/>
    <w:rsid w:val="00510172"/>
    <w:rsid w:val="00512526"/>
    <w:rsid w:val="00530F02"/>
    <w:rsid w:val="005820F6"/>
    <w:rsid w:val="00596A16"/>
    <w:rsid w:val="0059713E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85907"/>
    <w:rsid w:val="008B749A"/>
    <w:rsid w:val="009055B2"/>
    <w:rsid w:val="009321C5"/>
    <w:rsid w:val="00972303"/>
    <w:rsid w:val="00974BE9"/>
    <w:rsid w:val="0097783B"/>
    <w:rsid w:val="009A2BD4"/>
    <w:rsid w:val="009B21AD"/>
    <w:rsid w:val="00A74AA7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24818"/>
    <w:rsid w:val="00C31AFC"/>
    <w:rsid w:val="00C51AA4"/>
    <w:rsid w:val="00C700E5"/>
    <w:rsid w:val="00C72E64"/>
    <w:rsid w:val="00C73046"/>
    <w:rsid w:val="00CC1DCE"/>
    <w:rsid w:val="00CC5A17"/>
    <w:rsid w:val="00CC7C46"/>
    <w:rsid w:val="00CD378E"/>
    <w:rsid w:val="00CE62F3"/>
    <w:rsid w:val="00CF48BF"/>
    <w:rsid w:val="00D27AE6"/>
    <w:rsid w:val="00D353C9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9</cp:revision>
  <cp:lastPrinted>2025-02-20T13:27:00Z</cp:lastPrinted>
  <dcterms:created xsi:type="dcterms:W3CDTF">2025-02-20T09:36:00Z</dcterms:created>
  <dcterms:modified xsi:type="dcterms:W3CDTF">2025-02-20T13:44:00Z</dcterms:modified>
  <cp:version>1048576</cp:version>
</cp:coreProperties>
</file>