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57640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5D177E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3252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5C7358" w:rsidRDefault="00E620A6" w:rsidP="005C7358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620A6" w:rsidRPr="005C7358" w:rsidRDefault="00E620A6" w:rsidP="005C7358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C735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прогнозе социально-экономического развития</w:t>
      </w: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C735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Грязовецкого муниципального округа на среднесрочный период 2025-2027 годов</w:t>
      </w: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C7358" w:rsidRPr="005C7358" w:rsidRDefault="005C7358" w:rsidP="005C7358">
      <w:pPr>
        <w:widowControl w:val="0"/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C735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соответствии со статьями 169 и 173 Бюджетного кодекса Российской Федерации </w:t>
      </w:r>
    </w:p>
    <w:p w:rsidR="005C7358" w:rsidRPr="005C7358" w:rsidRDefault="005C7358" w:rsidP="005C7358">
      <w:pPr>
        <w:widowControl w:val="0"/>
        <w:suppressAutoHyphens/>
        <w:snapToGri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C735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C7358" w:rsidRPr="005C7358" w:rsidRDefault="005C7358" w:rsidP="005C7358">
      <w:pPr>
        <w:widowControl w:val="0"/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5C735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Одобрить прилагаемый прогноз социально-экономического развития Грязовецкого муниципального округа на среднесрочный период 2025-2027 годов, применяемый для составления проекта бюджета Грязовецкого муниципального округа на 2025 год и плановый период 2026 и 2027 годов.</w:t>
      </w:r>
    </w:p>
    <w:p w:rsidR="005C7358" w:rsidRPr="005C7358" w:rsidRDefault="005C7358" w:rsidP="005C7358">
      <w:pPr>
        <w:widowControl w:val="0"/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5C735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размещению на официальном сайте Грязовецкого муниципального округа.</w:t>
      </w:r>
    </w:p>
    <w:p w:rsidR="005C7358" w:rsidRPr="005C7358" w:rsidRDefault="005C7358" w:rsidP="005C7358">
      <w:pPr>
        <w:widowControl w:val="0"/>
        <w:suppressAutoHyphens/>
        <w:snapToGrid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</w:pPr>
    </w:p>
    <w:p w:rsidR="00451160" w:rsidRPr="00996BD4" w:rsidRDefault="00451160" w:rsidP="00216136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212B9" w:rsidRPr="00996BD4" w:rsidRDefault="008212B9" w:rsidP="00216136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исполняющий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5C7358" w:rsidSect="009F0628">
          <w:headerReference w:type="default" r:id="rId9"/>
          <w:headerReference w:type="first" r:id="rId10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2047"/>
        </w:sectPr>
      </w:pPr>
    </w:p>
    <w:p w:rsidR="005C7358" w:rsidRPr="005C7358" w:rsidRDefault="005C7358" w:rsidP="005C7358">
      <w:pPr>
        <w:widowControl w:val="0"/>
        <w:suppressAutoHyphens/>
        <w:ind w:left="10065" w:right="57"/>
        <w:jc w:val="both"/>
        <w:rPr>
          <w:sz w:val="26"/>
          <w:szCs w:val="26"/>
          <w:lang w:eastAsia="zh-CN"/>
        </w:rPr>
      </w:pPr>
      <w:r w:rsidRPr="005C7358"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  <w:lastRenderedPageBreak/>
        <w:t>Приложение</w:t>
      </w:r>
    </w:p>
    <w:p w:rsidR="005C7358" w:rsidRPr="005C7358" w:rsidRDefault="005C7358" w:rsidP="005C7358">
      <w:pPr>
        <w:widowControl w:val="0"/>
        <w:suppressAutoHyphens/>
        <w:ind w:left="10065"/>
        <w:jc w:val="both"/>
        <w:rPr>
          <w:sz w:val="26"/>
          <w:szCs w:val="26"/>
          <w:lang w:eastAsia="zh-CN"/>
        </w:rPr>
      </w:pPr>
      <w:r w:rsidRPr="005C7358"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  <w:t xml:space="preserve">к постановлению администрации </w:t>
      </w:r>
    </w:p>
    <w:p w:rsidR="005C7358" w:rsidRPr="005C7358" w:rsidRDefault="005C7358" w:rsidP="005C7358">
      <w:pPr>
        <w:widowControl w:val="0"/>
        <w:suppressAutoHyphens/>
        <w:ind w:left="10065"/>
        <w:jc w:val="both"/>
        <w:rPr>
          <w:sz w:val="26"/>
          <w:szCs w:val="26"/>
          <w:lang w:eastAsia="zh-CN"/>
        </w:rPr>
      </w:pPr>
      <w:r w:rsidRPr="005C7358"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  <w:t>Грязовецкого муниципального</w:t>
      </w:r>
      <w:r w:rsidRPr="005C7358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</w:t>
      </w:r>
      <w:r w:rsidRPr="005C7358"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  <w:t>округа</w:t>
      </w:r>
    </w:p>
    <w:p w:rsidR="005C7358" w:rsidRPr="005C7358" w:rsidRDefault="005C7358" w:rsidP="005C7358">
      <w:pPr>
        <w:widowControl w:val="0"/>
        <w:suppressAutoHyphens/>
        <w:ind w:left="10065"/>
        <w:jc w:val="both"/>
        <w:rPr>
          <w:sz w:val="26"/>
          <w:szCs w:val="26"/>
        </w:rPr>
      </w:pPr>
      <w:r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  <w:t>от 08.11.2024 № 3252</w:t>
      </w:r>
    </w:p>
    <w:p w:rsidR="005C7358" w:rsidRPr="005C7358" w:rsidRDefault="005C7358" w:rsidP="005C7358">
      <w:pPr>
        <w:widowControl w:val="0"/>
        <w:suppressAutoHyphens/>
        <w:ind w:left="10065"/>
        <w:jc w:val="both"/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</w:pPr>
    </w:p>
    <w:p w:rsidR="005C7358" w:rsidRPr="005C7358" w:rsidRDefault="005C7358" w:rsidP="005C7358">
      <w:pPr>
        <w:widowControl w:val="0"/>
        <w:suppressAutoHyphens/>
        <w:jc w:val="center"/>
        <w:rPr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b/>
          <w:bCs/>
          <w:caps/>
          <w:color w:val="000000"/>
          <w:sz w:val="26"/>
          <w:szCs w:val="26"/>
          <w:lang w:eastAsia="zh-CN"/>
        </w:rPr>
        <w:t xml:space="preserve">Прогноз социально-экономического развития Грязовецкого муниципального ОКРУГА </w:t>
      </w:r>
    </w:p>
    <w:p w:rsidR="005C7358" w:rsidRPr="005C7358" w:rsidRDefault="005C7358" w:rsidP="005C7358">
      <w:pPr>
        <w:suppressAutoHyphens/>
        <w:jc w:val="center"/>
        <w:rPr>
          <w:sz w:val="26"/>
          <w:szCs w:val="26"/>
        </w:rPr>
      </w:pPr>
      <w:r w:rsidRPr="005C7358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НА СРЕДНЕСРОЧНЫЙ ПЕРИОД 2025-2027 ГОДОВ </w:t>
      </w:r>
    </w:p>
    <w:p w:rsidR="005C7358" w:rsidRPr="005C7358" w:rsidRDefault="005C7358" w:rsidP="005C7358">
      <w:pPr>
        <w:suppressAutoHyphens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</w:p>
    <w:p w:rsidR="005C7358" w:rsidRPr="005C7358" w:rsidRDefault="005C7358" w:rsidP="005C7358">
      <w:pPr>
        <w:suppressAutoHyphens/>
        <w:jc w:val="center"/>
        <w:rPr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 Основные показатели социально-экономического развития Грязовецкого муниципального округа</w:t>
      </w:r>
    </w:p>
    <w:p w:rsidR="005C7358" w:rsidRPr="005C7358" w:rsidRDefault="005C7358" w:rsidP="005C7358">
      <w:pPr>
        <w:suppressAutoHyphens/>
        <w:jc w:val="center"/>
        <w:rPr>
          <w:sz w:val="26"/>
          <w:szCs w:val="26"/>
        </w:rPr>
      </w:pP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на среднесрочный период 2025-2027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годов</w:t>
      </w:r>
    </w:p>
    <w:p w:rsidR="005C7358" w:rsidRPr="005C7358" w:rsidRDefault="005C7358" w:rsidP="005C7358">
      <w:pPr>
        <w:suppressAutoHyphens/>
        <w:jc w:val="both"/>
        <w:rPr>
          <w:rFonts w:ascii="Liberation Serif" w:hAnsi="Liberation Serif" w:cs="Liberation Serif"/>
          <w:b/>
          <w:bCs/>
          <w:color w:val="C9211E"/>
          <w:sz w:val="26"/>
          <w:szCs w:val="26"/>
          <w:lang w:val="x-none" w:eastAsia="zh-CN"/>
        </w:rPr>
      </w:pPr>
    </w:p>
    <w:tbl>
      <w:tblPr>
        <w:tblW w:w="15043" w:type="dxa"/>
        <w:tblInd w:w="109" w:type="dxa"/>
        <w:tblLook w:val="0000" w:firstRow="0" w:lastRow="0" w:firstColumn="0" w:lastColumn="0" w:noHBand="0" w:noVBand="0"/>
      </w:tblPr>
      <w:tblGrid>
        <w:gridCol w:w="3202"/>
        <w:gridCol w:w="1568"/>
        <w:gridCol w:w="992"/>
        <w:gridCol w:w="999"/>
        <w:gridCol w:w="1759"/>
        <w:gridCol w:w="10"/>
        <w:gridCol w:w="987"/>
        <w:gridCol w:w="12"/>
        <w:gridCol w:w="1747"/>
        <w:gridCol w:w="17"/>
        <w:gridCol w:w="985"/>
        <w:gridCol w:w="16"/>
        <w:gridCol w:w="37"/>
        <w:gridCol w:w="1706"/>
        <w:gridCol w:w="8"/>
        <w:gridCol w:w="998"/>
      </w:tblGrid>
      <w:tr w:rsidR="005C7358" w:rsidRPr="005C7358" w:rsidTr="005C7358">
        <w:trPr>
          <w:cantSplit/>
          <w:trHeight w:val="241"/>
          <w:tblHeader/>
        </w:trPr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Показатели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 xml:space="preserve">Единица </w:t>
            </w:r>
          </w:p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2023 год</w:t>
            </w:r>
          </w:p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отчет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2024 год оценка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2025 год прогноз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2026 год прогноз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2027 год прогноз</w:t>
            </w:r>
          </w:p>
        </w:tc>
      </w:tr>
      <w:tr w:rsidR="005C7358" w:rsidRPr="005C7358" w:rsidTr="005C7358">
        <w:trPr>
          <w:cantSplit/>
          <w:trHeight w:val="145"/>
          <w:tblHeader/>
        </w:trPr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zh-CN"/>
              </w:rPr>
              <w:t>консервативный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zh-CN"/>
              </w:rPr>
              <w:t>базовый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zh-CN"/>
              </w:rPr>
              <w:t>консервативный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zh-CN"/>
              </w:rPr>
              <w:t>базовый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zh-CN"/>
              </w:rPr>
              <w:t>консервативный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  <w:lang w:eastAsia="zh-CN"/>
              </w:rPr>
              <w:t>базовый</w:t>
            </w:r>
          </w:p>
        </w:tc>
      </w:tr>
      <w:tr w:rsidR="005C7358" w:rsidRPr="005C7358" w:rsidTr="005C7358">
        <w:trPr>
          <w:cantSplit/>
          <w:trHeight w:val="241"/>
          <w:tblHeader/>
        </w:trPr>
        <w:tc>
          <w:tcPr>
            <w:tcW w:w="3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</w:t>
            </w:r>
          </w:p>
        </w:tc>
      </w:tr>
      <w:tr w:rsidR="005C7358" w:rsidRPr="005C7358" w:rsidTr="005C7358">
        <w:trPr>
          <w:cantSplit/>
          <w:trHeight w:val="241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Прибыль прибыльных крупных и средних коммерческих организаций до налогообложения (без сельского хозяйства)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тыс.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717570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1219245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1052002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1239093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1057262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1259273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1058319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1279789</w:t>
            </w:r>
          </w:p>
        </w:tc>
      </w:tr>
      <w:tr w:rsidR="005C7358" w:rsidRPr="005C7358" w:rsidTr="005C7358">
        <w:trPr>
          <w:cantSplit/>
          <w:trHeight w:val="90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i/>
                <w:iCs/>
                <w:color w:val="C9211E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73,2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169,9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i/>
                <w:iCs/>
                <w:color w:val="C9211E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86,3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101,6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100,5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101,6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100,1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101,6</w:t>
            </w:r>
          </w:p>
        </w:tc>
      </w:tr>
      <w:tr w:rsidR="005C7358" w:rsidRPr="005C7358" w:rsidTr="005C7358">
        <w:trPr>
          <w:cantSplit/>
          <w:trHeight w:val="231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Среднесписочная  численность работающих (в среднем за период)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8945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8952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9193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9193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9226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9226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9271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9271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93,3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100,1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102,7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102,7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100,4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100,4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100,5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100,5</w:t>
            </w:r>
          </w:p>
        </w:tc>
      </w:tr>
      <w:tr w:rsidR="005C7358" w:rsidRPr="005C7358" w:rsidTr="005C7358">
        <w:trPr>
          <w:cantSplit/>
          <w:trHeight w:val="256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Фонд заработной платы </w:t>
            </w:r>
          </w:p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тыс.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6270321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7019227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7619176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7853933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8147127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8589169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8693942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9261775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108,2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111,9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108,5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111,9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106,9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109,4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106,7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107,8</w:t>
            </w:r>
          </w:p>
        </w:tc>
      </w:tr>
      <w:tr w:rsidR="005C7358" w:rsidRPr="005C7358" w:rsidTr="005C7358">
        <w:trPr>
          <w:cantSplit/>
          <w:trHeight w:val="261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Среднемесячная заработная плата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58416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65341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69067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71195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73588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77581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78146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83250</w:t>
            </w:r>
          </w:p>
        </w:tc>
      </w:tr>
      <w:tr w:rsidR="005C7358" w:rsidRPr="005C7358" w:rsidTr="005C7358">
        <w:trPr>
          <w:cantSplit/>
          <w:trHeight w:val="557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115,9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111,9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105,7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109,0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106,5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109,0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106,2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107,3</w:t>
            </w:r>
          </w:p>
        </w:tc>
      </w:tr>
      <w:tr w:rsidR="005C7358" w:rsidRPr="005C7358" w:rsidTr="005C7358">
        <w:trPr>
          <w:cantSplit/>
          <w:trHeight w:val="597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Остаточная балансовая стоимость основных фондов по 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lastRenderedPageBreak/>
              <w:t xml:space="preserve">крупным и средним коммерческим организациям (без сельского хозяйства) на конец года с учетом структурных подразделений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lastRenderedPageBreak/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6137,7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5735,5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5370,4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5575,4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5101,9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5409,1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4897,8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5235,2</w:t>
            </w:r>
          </w:p>
        </w:tc>
      </w:tr>
      <w:tr w:rsidR="005C7358" w:rsidRPr="005C7358" w:rsidTr="005C7358">
        <w:trPr>
          <w:cantSplit/>
          <w:trHeight w:val="805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i/>
                <w:iCs/>
                <w:color w:val="C9211E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104,5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93,4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i/>
                <w:iCs/>
                <w:color w:val="C9211E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93,6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97,2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95,0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97,0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96,8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lastRenderedPageBreak/>
              <w:t xml:space="preserve">Объем отгруженных товаров, работ и услуг промышленного производства по крупным и средним организациям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12672,4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15516,3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17735,0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19196,4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18212,9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20585,2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18703,5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21604,9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114,3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123,7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102,7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107,2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102,7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105,0</w:t>
            </w:r>
          </w:p>
        </w:tc>
      </w:tr>
      <w:tr w:rsidR="005C7358" w:rsidRPr="005C7358" w:rsidTr="005C7358">
        <w:trPr>
          <w:cantSplit/>
          <w:trHeight w:val="156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Оборот розничной торговли по крупным и средним организациям </w:t>
            </w:r>
          </w:p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3163,3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3450,0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3710,0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3726,0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3980,0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4015,0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4260,0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4316,0</w:t>
            </w:r>
          </w:p>
        </w:tc>
      </w:tr>
      <w:tr w:rsidR="005C7358" w:rsidRPr="005C7358" w:rsidTr="005C7358">
        <w:trPr>
          <w:cantSplit/>
          <w:trHeight w:val="471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119,2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109,1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107,5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108,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107,3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7,8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7,5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Оборот общественного питания по крупным и средним организациям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43,6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44,5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46,5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46,9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49,4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50,5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51,9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122,1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102,1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4,5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,4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4,3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,3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4,1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105,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5C7358" w:rsidRPr="005C7358" w:rsidTr="005C7358">
        <w:trPr>
          <w:cantSplit/>
          <w:trHeight w:val="280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Платные услуги населению по крупным и средним организациям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451,8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482,0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511,2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513,0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537,7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541,5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564,5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57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1,3</w:t>
            </w:r>
          </w:p>
        </w:tc>
      </w:tr>
      <w:tr w:rsidR="005C7358" w:rsidRPr="005C7358" w:rsidTr="005C7358">
        <w:trPr>
          <w:cantSplit/>
          <w:trHeight w:val="597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107,5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106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,7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106,1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106,4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105,2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</w:t>
            </w: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zh-CN"/>
              </w:rPr>
              <w:t>5,0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105,5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Численность населения до 18 лет (17 лет включительно)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6625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6573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6475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6541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6410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6518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6359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6498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97,8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98,5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99,6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99,2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99,7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Среднегодовая численность населения 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31869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31535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31252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31294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30951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31065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30673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30840</w:t>
            </w:r>
          </w:p>
        </w:tc>
      </w:tr>
      <w:tr w:rsidR="005C7358" w:rsidRPr="005C7358" w:rsidTr="005C7358">
        <w:trPr>
          <w:cantSplit/>
          <w:trHeight w:val="145"/>
        </w:trPr>
        <w:tc>
          <w:tcPr>
            <w:tcW w:w="39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99,2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99,3</w:t>
            </w:r>
          </w:p>
        </w:tc>
        <w:tc>
          <w:tcPr>
            <w:tcW w:w="11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jc w:val="center"/>
              <w:rPr>
                <w:color w:val="000000"/>
              </w:rPr>
            </w:pPr>
            <w:r w:rsidRPr="005C7358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99,3</w:t>
            </w:r>
          </w:p>
        </w:tc>
      </w:tr>
      <w:tr w:rsidR="005C7358" w:rsidRPr="005C7358" w:rsidTr="005C7358">
        <w:trPr>
          <w:cantSplit/>
          <w:trHeight w:val="531"/>
        </w:trPr>
        <w:tc>
          <w:tcPr>
            <w:tcW w:w="9362" w:type="dxa"/>
            <w:gridSpan w:val="6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</w:p>
          <w:p w:rsidR="005C7358" w:rsidRPr="005C7358" w:rsidRDefault="005C7358" w:rsidP="005C7358">
            <w:pPr>
              <w:widowControl w:val="0"/>
              <w:suppressAutoHyphens/>
              <w:snapToGrid w:val="0"/>
              <w:jc w:val="both"/>
              <w:rPr>
                <w:rFonts w:ascii="Liberation Serif" w:hAnsi="Liberation Serif" w:cs="Liberation Serif"/>
                <w:color w:val="C9211E"/>
                <w:sz w:val="26"/>
                <w:szCs w:val="26"/>
                <w:lang w:eastAsia="zh-CN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</w:p>
        </w:tc>
        <w:tc>
          <w:tcPr>
            <w:tcW w:w="1165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</w:p>
        </w:tc>
        <w:tc>
          <w:tcPr>
            <w:tcW w:w="118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C7358" w:rsidRPr="005C7358" w:rsidRDefault="005C7358" w:rsidP="005C7358">
            <w:pPr>
              <w:widowControl w:val="0"/>
              <w:suppressAutoHyphens/>
              <w:snapToGrid w:val="0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</w:p>
          <w:p w:rsidR="005C7358" w:rsidRPr="005C7358" w:rsidRDefault="005C7358" w:rsidP="005C7358">
            <w:pPr>
              <w:widowControl w:val="0"/>
              <w:suppressAutoHyphens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</w:p>
        </w:tc>
      </w:tr>
    </w:tbl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7358" w:rsidRDefault="005C735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5C7358" w:rsidSect="00F13843">
          <w:headerReference w:type="first" r:id="rId11"/>
          <w:pgSz w:w="16838" w:h="11906" w:orient="landscape"/>
          <w:pgMar w:top="1701" w:right="1134" w:bottom="567" w:left="1134" w:header="567" w:footer="0" w:gutter="0"/>
          <w:pgNumType w:start="2"/>
          <w:cols w:space="720"/>
          <w:formProt w:val="0"/>
          <w:titlePg/>
          <w:docGrid w:linePitch="360" w:charSpace="2047"/>
        </w:sectPr>
      </w:pPr>
    </w:p>
    <w:p w:rsidR="005C7358" w:rsidRPr="005C7358" w:rsidRDefault="005C7358" w:rsidP="005C7358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lastRenderedPageBreak/>
        <w:t>2. Пояснительная записка</w:t>
      </w: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к прогнозу социально-экономического развития  </w:t>
      </w: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Грязовецкого муниципального округа </w:t>
      </w: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на среднесрочный период 2025-2027 годов</w:t>
      </w:r>
    </w:p>
    <w:p w:rsidR="005C7358" w:rsidRPr="005C7358" w:rsidRDefault="005C7358" w:rsidP="005C7358">
      <w:pPr>
        <w:widowControl w:val="0"/>
        <w:suppressAutoHyphens/>
        <w:jc w:val="center"/>
        <w:rPr>
          <w:rFonts w:ascii="Liberation Serif" w:hAnsi="Liberation Serif" w:cs="Liberation Serif"/>
          <w:b/>
          <w:color w:val="FF0000"/>
          <w:sz w:val="26"/>
          <w:szCs w:val="26"/>
          <w:lang w:eastAsia="zh-CN"/>
        </w:rPr>
      </w:pP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Прогноз социально-экономического развития Грязовецкого муниципального округа на среднесрочный период 2025-2027 годов (далее - Прогноз социально-экономического развития округа на среднесрочный период 2025-2027 годов) разработан в соответствии с Порядком разработки прогноза социально-экономического развития Грязовецкого муниципального округа на среднесрочный период, утвержденным постановлением администрации Грязовецкого муниципального округа от 1 января 2023 г. № 5, на основании материалов государственной статистики, прогнозных показателей организаций и собственной информации администрации Грязовецкого муниципального округа.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Прогноз социально-экономического развития округа на среднесрочный период 2025-2027 годов разрабатывался на вариантной основе. Прогнозные показатели представлены в двух вариантах: консервативный, базовый.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Базовый вариант Прогноза социально-экономического развития округа на среднесрочный период 2025-2027 годов предлагается использовать для разработки параметров </w:t>
      </w:r>
      <w:r w:rsidRPr="005C7358"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  <w:t xml:space="preserve">бюджета Грязовецкого муниципального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5C7358">
        <w:rPr>
          <w:rFonts w:ascii="Liberation Serif" w:eastAsia="Arial Unicode MS" w:hAnsi="Liberation Serif" w:cs="Liberation Serif"/>
          <w:color w:val="000000"/>
          <w:sz w:val="26"/>
          <w:szCs w:val="26"/>
          <w:lang w:eastAsia="zh-CN"/>
        </w:rPr>
        <w:t xml:space="preserve"> на 2025 год и плановый период 2026 и 2027 годов.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Прогноз социально-экономического развития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5C735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на среднесрочный период 2025-2027 годов разработан исходя из задач, определённых стратегическими документами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5C735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, планами по реализации инвестиционных проектов, с учетом состояния и тенденций развития российской экономики. Развитие промышленного производства планируется на основе модернизации производства                                         на деревообрабатывающих предприятиях и предприятиях по производству пищевых продуктов, за счет расширения рынков сбыта промышленной продукции. Увеличение производства сельскохозяйственной продукции будет осуществляться                             через реализацию инвестиционных проектов сельскохозяйственных предприятий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5C735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по строительству современных животноводческих ферм и реконструкции действующих.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На основании мониторинга социально-экономического развития муниципальных образований Вологодской области, проводимого Департаментом стратегического планирования и совершенствования управленческих процессов Правительства Вологодской области, Грязовецкий муниципальный округ по итогам за 2023 год занял 10 среднее место по абсолютным показателям и по темпам роста.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Оборот по крупным и средним организациям за 2023 год составил                     27794,7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103,7% к уровню 2022 года (по области - 104,8%). Оборот организаций в расчете на одного жителя составил 872,2 тыс. рублей,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округ занимал    6 место по области.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Сельхозорганизациями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за 2023 год произведено 147179 тонн молока, рост на 7,6% к уровню 2022 года. Производство молока в расчете на одного жителя составило 4618,2 кг, что выше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среднеобластного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значения в 8,5 раз (по области – 543,6 кг).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                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расчете на одного жителя производство скота и птицы на убой (в живом весе) составило 225,4 кг, что является выше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среднеобластного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значения в 5,9 раз                   (по области – 38,5 кг).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Объем инвестиций в основной капитал за счет всех источников финансирования по крупным и средним организациям за 2023 год составил                 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4239,5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по сравнению с уровнем 2022 года уменьшился в действующих ценах по сопоставимому кругу организаций на 18,4%. В расчете на одного жителя объем инвестиций составил 133,0 тыс. рублей.</w:t>
      </w:r>
    </w:p>
    <w:p w:rsidR="005C7358" w:rsidRPr="005C7358" w:rsidRDefault="005C7358" w:rsidP="005C7358">
      <w:pPr>
        <w:widowControl w:val="0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ab/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По итогам за 2023 год отсутствует информация государственной статистики по сплошному обследованию малых предприятий и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микропредприятий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среднесписочная численность работников организаций, фонд заработной платы и среднемесячная заработная плата представлены с учетом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дорасчета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малые предприятия и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микропредприятия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5C7358" w:rsidRPr="005C7358" w:rsidRDefault="005C7358" w:rsidP="005C7358">
      <w:pPr>
        <w:widowControl w:val="0"/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ab/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Анализируя итоги Прогноза социально-экономического развития Грязовецкого муниципального округа на среднесрочный период 2023-2025 годов, одобренного постановлением администрации Грязовецкого муниципального района от 8 ноября 2022 г. № 602, необходимо отметить выполнение запланированных основных показателей в 2023 году по базовому варианту: по остаточной балансовой стоимости основных фондов по крупным и средним коммерческим организациям (без сельского хозяйства) с учетом структурных подразделений - 123,1%; по фонду заработной платы – 118,0%; по среднемесячной заработной плате – 112,0%; по среднесписочной численности работающих – 105,4%;   по объему отгруженных товаров, работ и услуг промышленного производства – 103,9%; по платным услугам населению по крупным и средним организациям - 102,4%; по среднегодовой численности населения – 104,1%; по численности населения до 18 лет (17 лет включительно) – 102,4%.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 2023 год наибольшее перевыполнение запланированных основных показателей наблюдалось: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по остаточной балансовой стоимости основных фондов по крупным и средним коммерческим организациям (без сельского хозяйства) с учетом структурных подразделений (123,1% или увеличение на 1150,6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>в основном за счет структурных подразделений (ООО «ГСП-4» и ООО «ГСП-7) и за счет ввода основных фондов (ООО «</w:t>
      </w:r>
      <w:proofErr w:type="spellStart"/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>ВохтогаЛесДрев</w:t>
      </w:r>
      <w:proofErr w:type="spellEnd"/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>», МУП «</w:t>
      </w:r>
      <w:proofErr w:type="spellStart"/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>Грязовецкая</w:t>
      </w:r>
      <w:proofErr w:type="spellEnd"/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 xml:space="preserve"> </w:t>
      </w:r>
      <w:proofErr w:type="spellStart"/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>Электротеплосеть</w:t>
      </w:r>
      <w:proofErr w:type="spellEnd"/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>»), по которым отсутствовала информация при расчете прогнозных показателей;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по фонду заработной платы (118,0% или увеличение на 954,9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                в основном за счет сельского хозяйства, строительства, транспорта, а именно: крупные и средние организации перевыполнили представленные прогнозные показатели за счет увеличения объема отгруженной продукции, выполненных работ                           и услуг; </w:t>
      </w:r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>структурные подразделения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не представили прогнозные показатели на 2023 год;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по среднесписочной численности работающих (105,4% или увеличение на 456 человек) в основном за счет </w:t>
      </w:r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</w:rPr>
        <w:t xml:space="preserve">структурных подразделений, </w:t>
      </w:r>
      <w:r w:rsidRPr="005C7358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zh-CN"/>
        </w:rPr>
        <w:t>осуществляющих строительные работы для ПАО «Газпром»,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которые не представили прогнозные показатели на 2023 год.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 объему прибыли прибыльных крупных и средних коммерческих организаций до налогообложения (без сельского хозяйства) (72,2% или уменьшение на 275,9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 уменьшение за счет снижения цен на сухое обезжиренное молоко, снижения закупочных цен на молоко, удорожания затрат на упаковку и логистику.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По обороту розничной торговли и обороту общественного питания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Вологдастат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за 2023 год </w:t>
      </w:r>
      <w:r w:rsidRPr="005C7358">
        <w:rPr>
          <w:rFonts w:ascii="Liberation Serif" w:eastAsia="sans-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представил данные только по крупным и средним организациям                     без </w:t>
      </w:r>
      <w:proofErr w:type="spellStart"/>
      <w:r w:rsidRPr="005C7358">
        <w:rPr>
          <w:rFonts w:ascii="Liberation Serif" w:eastAsia="sans-serif" w:hAnsi="Liberation Serif" w:cs="Liberation Serif"/>
          <w:color w:val="000000"/>
          <w:sz w:val="26"/>
          <w:szCs w:val="26"/>
          <w:highlight w:val="white"/>
          <w:lang w:eastAsia="zh-CN"/>
        </w:rPr>
        <w:t>дорасчета</w:t>
      </w:r>
      <w:proofErr w:type="spellEnd"/>
      <w:r w:rsidRPr="005C7358">
        <w:rPr>
          <w:rFonts w:ascii="Liberation Serif" w:eastAsia="sans-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на субъекты малого предпринимательства.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В соответствии с изменениями исходных условий в 2024 году уточнены прогнозные показатели, одобренные постановлением администрации Грязовецкого муниципального округа от 8 ноября 2023 г. № 2713 «О прогнозе социально-экономического развития Грязовецкого муниципального округа на среднесрочный период 2024-2026 годов». Корректировка параметров прогноза связана                                    с тенденциями, складывающимися в различных сферах, с изменениями инфляционных процессов, с увеличением объемов производства на основании информации о прогнозных показателях, представленной организациями                                        и предприятиями округа.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Изменены прогнозные показатели: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1. Прибыль прибыльных крупных и средних коммерческих организаций до налогообложения (за счет увеличения объемов по обработке древесины в 2023 году получена прибыль больше, чем планировалась предприятием; в 2024 году предприятие уточнило прогнозные показатели):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- 2023 год (отчет) - 717,6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млн.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рублей (для сравнения в 2023 году оценка на 2023 год - 621,5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увеличение на 96,1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15,5%;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- 1219,2 млн рублей (для сравнения в 2023 году прогноз на 2024 год - 834,8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увеличение на 384,4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46,0%;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- 2025 год (прогноз) - 1239,1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2025 год - 848,0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увеличение на 391,1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46,1%.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2. Остаточная балансовая стоимость основных фондов по крупным и средним коммерческим организациям (без сельского хозяйства) на конец года с учетом структурных подразделений (</w:t>
      </w:r>
      <w:r w:rsidRPr="005C7358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за счет структурных подразделений, которые не представили прогнозные показатели, а также обрабатывающие предприятия представили уточненные прогнозные показатели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- 2023 год (отчет) - 6137,7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оценка на 2023 год - 6033,6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увеличение на 104,1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1,7%;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- 5735,5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2024 год - 6062,2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уменьшение на 326,7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5,4%;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- 2025 год (прогноз) - 5575,4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2025 год - 6089,6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уменьшение на 514,2 млн рублей или на 8,4%.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3. Объем отгруженных товаров, работ и услуг промышленного производства по крупным и средним организациям (обрабатывающие предприятия представили уточненные прогнозные показатели):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- 2023 год (отчет) - 12672,4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оценка на 2023 год - 13099,8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уменьшение на 427,4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3,3%;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- 15516,3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2024 год - 16806,0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уменьшение на 1289,7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7,7%;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- 2025 год (прогноз) - 19196,4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2025 год - 17423,4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увеличение на 1773,0 млн</w:t>
      </w:r>
      <w:r w:rsidR="00F13843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10,2%.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4. Среднесписочная численность работающих (</w:t>
      </w:r>
      <w:r w:rsidRPr="005C7358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за счет структурных подразделений, которые не представили прогнозные показатели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- 2023 год (отчет) - 8945 человек (для сравнения в 2023 году оценка на 2023 год - 8953 человека), уменьшение на 8 человек или на 0,1%;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- 2024 год (оценка) -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8952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человека (для сравнения в 2023 году прогноз на 2024 год - 9231 человек),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уменьшение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279 человек или на 3,0%;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- 2025 год (прогноз) - 9193 человека (для сравнения в 2023 году прогноз на 2025 год - 9199 человек),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уменьшение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6 человек или на 0,1%.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lastRenderedPageBreak/>
        <w:t>5. Фонд заработной платы (</w:t>
      </w:r>
      <w:r w:rsidRPr="005C7358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/>
        </w:rPr>
        <w:t>за счет структурных подразделений, которые не представили прогнозные показатели, а также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организациями представлены уточненные прогнозные показатели):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eastAsia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- 2023 год (отчет) - 6270,3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 (для сравнения в 2023 году оценка на 2023 год - 5826,1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рублей), увеличение на 444,2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 или на 7,6%;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- 7019,2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2024 год - 6479,2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увеличение на 540,0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8,3%;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- 2025 год (прогноз) - 7853,9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2025 год  - 6953,7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увеличение на 900,2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12,9%.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6. Среднемесячная заработная плата (за счет увеличения фонда заработной платы):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- 2023 год (отчет) - 58416 рублей (для сравнения в 2023 году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оценка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2023 год - 54229 рублей), увеличение на 4187 рублей или на 7,7%;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- 65341 рубль (для сравнения в 2023 году прогноз на 2024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год - 58491 рубль), увеличение на 6850 рублей или на 11,7%;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- 2025 год (прогноз) - 71195 рублей (для сравнения в 2023 году прогноз на 2025 год - 62994 рубля), увеличение на 8201 рубль или на 13,0%. 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7. Оборот розничной торговли по крупным и средним организациям (за счет открытия сетевых магазинов):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- 2023 год (отчет) - 3163,3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 (для сравнения в 2023 году оценка на 2023 год - 2935,2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рублей), увеличение на 228,1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 или на 7,8%;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- 3450,0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2024 год - 3170,0 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</w:t>
      </w:r>
      <w:bookmarkStart w:id="1" w:name="__DdeLink__17688_3760084275"/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увеличение</w:t>
      </w:r>
      <w:bookmarkEnd w:id="1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280,0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8,8%;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- 2025 год (прогноз) - 3726,0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2025 год - 3418,0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увеличение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308,0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9,0%.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8. Оборот общественного питания по крупным и средним организациям (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shd w:val="clear" w:color="auto" w:fill="FFFFFF"/>
          <w:lang w:eastAsia="zh-CN"/>
        </w:rPr>
        <w:t>на основании отчетных данных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)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- 2023 год (отчет) - 43,6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 (для сравнения в 2023 году оценка на 2023 год - 39,8 млн рублей), увеличение на 3,8 млн рублей или на 9,5%;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- 44,5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2024 год - 43,2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увеличение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1,3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3,0%;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- 2025 год (прогноз) - 46,9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2025 год - 46,8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увеличение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0,1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на 0,2%.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9. Среднегодовая численность населения (за счет снижения миграционного прироста):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- 2023 год (отчет) - 31869 человек (для сравнения в 2023 году оценка на 2023 год - 31872 человека), уменьшение на 3 человека;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- 2024 год (оценка) - 31535 человек (для сравнения в 2023 году прогноз на 2024 год - 31778  человек),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уменьшение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243 человека или на 0,8%;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- 2025 год (прогноз) - 31294 человека (для сравнения в 2023 году прогноз на 2025 год - 31768 человек),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уменьшение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474 человека или на 1,5%.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10. Платные услуги населению по крупным и средним организациям (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>на основании отчетных данных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- 2023 год (отчет) - 451,8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 (для сравнения в 2023 году оценка на 2023 год - 458,0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рублей), уменьшение на 6,2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 или на 1,4%;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- 482,0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2024 год - 485,5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рублей),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уменьшение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3,5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рублей или на 0,7%.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11. Численность населения до 18 лет (17 лет включительно)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(за счет уменьшения рождаемости, численность родившихся не превышает численность достигших 18 летнего возраста):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- 2023 год (отчет) - 6625 человек (для сравнения в 2023 году оценка на 2023 год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-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6680 человек), уменьше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55 человек или на 0,8%;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- 2024 год (оценка) - 6573 человека (для сравнения в 2023 году прогноз на 2024 год - 6623 человека), уменьше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50 человек или на 0,8%;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- 2025 год (прогноз) - </w:t>
      </w:r>
      <w:bookmarkStart w:id="2" w:name="__DdeLink__30736_2870086353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6</w:t>
      </w:r>
      <w:bookmarkEnd w:id="2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541 человек (для сравнения в 2023 году прогноз на 2025 год - 6594 человека), уменьше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ние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53 человека или на 0,8%.</w:t>
      </w:r>
    </w:p>
    <w:p w:rsidR="005C7358" w:rsidRPr="005C7358" w:rsidRDefault="005C7358" w:rsidP="005C7358">
      <w:pPr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Экономика округа представлена предприятиями и организациями различных организационно-правовых форм. По данным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госстатистики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1 января 2024 г. на территории округа зарегистрировано 334 организации. Запросы по прогнозным показателям направлялись в крупные и средние предприятия, бюджетные учреждения и в некоторые малые предприятия. В соответствии с запросами формы по прогнозным показателям должны были представить 75 организаций. Всего поступили прогнозные показатели от 71 организации.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При расчете оценки и прогноза прибыли прибыльных организаций до налогообложения использовались прогнозные показатели крупных и средних организаций, без учета сельского хозяйства и структурных подразделений. В основном прибыльными предприятиями являются предприятия обрабатывающих производств и транспорта.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2023 году прибыль до налогообложения по крупным и средним организациям составила 717,6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снижение к уровню 2022 года на 26,8%. Доля обрабатывающих производств составила 100%.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2024 году ожидается прибыль до налогообложения по крупным и средним коммерческим организациям в сумме 1219,2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увеличение к уровню 2023 года на 69,9% или на 501,6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в том числе по видам деятельности: рост по обрабатывающим производствам - на 69,6% или на 499,6 млн рублей в основном за счет ОАО «Северное Молоко» и ООО «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ВохтогаЛесДрев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»; увеличение на транспорте - на 2,0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</w:t>
      </w:r>
      <w:r w:rsidRPr="005C7358">
        <w:rPr>
          <w:rFonts w:ascii="Liberation Serif" w:hAnsi="Liberation Serif" w:cs="Liberation Serif"/>
          <w:i/>
          <w:color w:val="00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iCs/>
          <w:color w:val="000000"/>
          <w:sz w:val="26"/>
          <w:szCs w:val="26"/>
          <w:lang w:eastAsia="zh-CN"/>
        </w:rPr>
        <w:t>за счет ООО «</w:t>
      </w:r>
      <w:proofErr w:type="spellStart"/>
      <w:r w:rsidRPr="005C7358">
        <w:rPr>
          <w:rFonts w:ascii="Liberation Serif" w:hAnsi="Liberation Serif" w:cs="Liberation Serif"/>
          <w:iCs/>
          <w:color w:val="000000"/>
          <w:sz w:val="26"/>
          <w:szCs w:val="26"/>
          <w:lang w:eastAsia="zh-CN"/>
        </w:rPr>
        <w:t>МонзаЖелТранс</w:t>
      </w:r>
      <w:proofErr w:type="spellEnd"/>
      <w:r w:rsidRPr="005C7358">
        <w:rPr>
          <w:rFonts w:ascii="Liberation Serif" w:hAnsi="Liberation Serif" w:cs="Liberation Serif"/>
          <w:iCs/>
          <w:color w:val="000000"/>
          <w:sz w:val="26"/>
          <w:szCs w:val="26"/>
          <w:lang w:eastAsia="zh-CN"/>
        </w:rPr>
        <w:t xml:space="preserve">» (в 2023 году прибыль отсутствовала).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Основная доля приходится на предприятия обрабатывающих производств - 99,8%, транспорта - 0,2%.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2025 году на основании информации, полученной от основных предприятий, прогнозируется объем прибыли до налогообложения по крупным и средним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коммерческим организациям в сумме 1239,1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рост к уровню 2024 года на 1,6% или на 19,9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в том числе по видам деятельности: рост по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обрабатывающим производствам -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 1,6% или на 19,8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рублей; рост на транспорте - на 5,0% или на 0,1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рублей. В 2025-2027 годах по структуре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прогнозируемой прибыли до налогообложения существенных изменений не наблюдается.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Прогнозируется увеличение прибыли до налогообложения в 2026 году на 1,6% к предыдущему году, в 2027 году - на 1,6% за счет увеличения по обрабатывающим производствам.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2023 году среднесписочная численность работников составила 8945 человек, уменьшение к уровню 2022 года на 6,7% или на 638 человек в основном за счет снижения численности в строительстве (за счет ООО «ГСП-4»).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Основная доля работающих приходилась на: промышленное производство - 19,8%; сельское хозяйство -  17,1%; транспортировку и хранение - 19,3%; о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бразование - 9,3%; торговлю -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8,0%; государственное управление и обеспечение военной безопасности -  7,1%; деятельность в области здравоохранения и социальных услуг - 6,1%.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полугодие 2024 года среднесписочная численность работников составила 8688 человек (97,1% от оценки за 2024 год), уменьшение к январю-июню 2023 года </w:t>
      </w:r>
      <w:r w:rsidRPr="005C735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на 5,6% (на основании расчетных данных, так как отсутствует статистическая информация по малым предприятиям и по ООО «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Плитвуд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»).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2024 году среднесписочная численность работающих ожидается 8952 человека, увеличение к уровню 2023 года на 0,1% в основном за счет увеличения численности в обрабатывающих производствах и сокращения численности в строительстве.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2025 году прогнозируется увеличение среднесписочной численности работающих на 2,7% или на 241 человек (9193 человека) в основном за увеличения по обрабатывающим производствам (новое фанерное производство в п. Вохтога).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2026-2027 годах прогнозируется увеличение среднесписочной численности работающих в среднем на 0,5%.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 2023 год фонд заработной платы увеличился по сравнению с уровнем 2022 года на 8,2% и составил 6270,3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Увеличение фонда заработной платы отмечалось по следующим видам деятельности: сельское хозяйство - на 11,7%, промыш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ленное производство - на 8,4%,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транспортировка и хранение - на 12,6%,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образование - на 7,4%, деятельность в области культуры, спорта, организации досуга и развлечений - на 12,7%, деятельность в области здравоохранения и социальных услуг - на 16,4%.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полугодие 2024 года фонд заработной платы составил 3345,0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(47,7% от оценки за 2024 год) или 109,3% к уровню соответствующего периода предыдущего года (на основании расчетные данных, так как отсутствует статистическая информация по малым предприятиям и по ООО «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Плитвуд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»).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2024 году ожидается, что фонд заработной платы составит 7019,2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по сравнению с уровнем 2023 года увеличение на 11,9% в основном за счет обрабатывающих производств, сельского хозяйства, транспорта. В 2025 году фонд заработной платы прогнозируется в сумме 7853,9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или 111,9% к уровню 2024 года в основном за счет обрабатывающих производств, сельского хозяйства, транспорта. Прогнозируется увеличение фонда заработной платы в 2026-2027 годах в среднем на 8,6% в основном за счет обрабатывающих производств, сельского хозяйства, транспорта.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Среднемесячная начисленная заработная плата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за 2023 год выросла по сравнению с уровнем 2022 года на 15,9% и составила 58416 рублей. По крупным и средним организациям среднемесячная заработная плата за 2023 год выше уровня среднемесячной заработной платы по округу по следующим видам деятельности: сельское, лесное хозяйство - 67852 рубля (116,2% от средней по округу);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строительство - 92069 рублей (157,6%); торговля оптовая и розничная; ремонт автотранспортных средств - 61370 рублей (105,1%);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транспортировка и хранение - 73130 рублей (125,2%); деятельность в области информации и связи - 69519 рублей (119,0%);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деятельность финансовая и страховая - 63022 рубля (107,9%). Среднемесячная заработная плата по крупным и средним организациям ниже уровня среднемесячной заработной платы по округу по следующим видам деятельности: обрабатывающие производства - 56745 рублей (97,1%); обеспечение электрической энергией, газом и паром - 42405 рублей (72,6%);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водоснабжение и водоотведение, организация сбора и утилизации отходов - 34155 рублей (58,5%);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деятельность по операциям с недвижимым имуществом - 32196 рублей (55,1%); деятельность профессиональная, научная и техническая - 42828 рублей (73,3%); деятельность административная и сопутствующие дополнительные услуги - 41871 рубль (71,7%);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государственное управление и обеспечение военной безопасности - 52492 рубля (89,9%); образование - 47715 рублей (81,7%);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деятельность в области здравоохранения и социальных услуг - 42492 рубля (72,7%); деятельность в области культуры, спорта, организаций досуга и развлечений  - 45942 рубля (78,6%).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Среднемесячная начисленная заработная плата 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полугодие 2024 года выросла по сравнению с соответствующим периодом 2023 года на 15,8% и составила 64169 рублей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(98,2% от оценки за 2024 год).  </w:t>
      </w:r>
    </w:p>
    <w:p w:rsidR="005C7358" w:rsidRPr="005C7358" w:rsidRDefault="005C7358" w:rsidP="005C7358">
      <w:pPr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2024 году ожидается, что среднемесячная заработная плата составит 65341 рубль, увеличение к уровню 2023 года на 11,9%. По крупным и средним организациям среднемесячная заработная плата за 2024 год составит 68225 рублей, что выше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уровня среднемесячной заработной платы по округу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на 4,4%.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В 2025 году рост среднемесячной заработной платы прогнозируется на 9,0% к уровню 2024 года (71195 рублей) за счет обрабатывающих производств, транспорта, сельского хозяйства. Прогнозируется увеличение среднемесячной заработной платы в 2026-2027 годах в среднем на 8,2%  за счет обрабатывающих производств, транспорта, сельского хозяйства.</w:t>
      </w:r>
    </w:p>
    <w:p w:rsidR="005C7358" w:rsidRPr="005C7358" w:rsidRDefault="005C7358" w:rsidP="005C7358">
      <w:pPr>
        <w:widowControl w:val="0"/>
        <w:suppressAutoHyphens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Остаточная балансовая стоимость основных фондов по крупным и средним коммерческим организациям (без сельского хозяйства) на конец 2023 года с учетом структурных подразделений составила 6137,7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увеличение                                   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 соответствующему периоду предыдущего года на 4,5% в основном за счет  структурных подразделений.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Доля недвижимого имущества в общем объеме составила 51,3%.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2024 году остаточная балансовая стоимость основных фондов по крупным и средним коммерческим организациям  (без сельского хозяйства) с учетом структурных подразделений ожидается в сумме 5735,5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что на 6,6% ниже уровня 2023 года за счет обрабатывающих производств и структурных подразделений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bCs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Остаточная балансовая стоимость основных фондов по крупным и средним коммерческим организациям (без сельского хозяйства) на конец 2025 года с учетом структурных подразделений прогнозируется в сумме 5575,4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уменьшение на 2,8% к уровню 2024 года. В 2026-2027 годах прогнозируется остаточная балансовая стоимость основных фондов соответственно 5409,1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и 5235,2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рублей. Ввод основных фондов планируется в основном в ОАО «Северное Молоко» и ООО «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ВохтогаЛесДрев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 и по структурным подразделениям (филиалам).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Объем отгруженных товаров, работ и услуг промышленного производства                   по крупным и средним организациям за 2023 год уменьшился в действующих ценах на 4,0% по сравнению с уровнем предыдущего года и составил 12672,4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рублей за счет производства пищевых продуктов.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расчете на одного жителя отгружено товаров на сумму 397,6 тыс. рублей. В объеме промышленных производств на обрабатывающие производства приходилось 95,7%; на обеспечение электрической энергией, газом и паром - 3,1%; на водоснабжение и водоотведение - 1,2%. В промышленном производстве 92% от общего объема приходилось на два крупных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предприятия:  ОАО «Северное Молоко», ООО «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ВохтогаЛесДрев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».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Объем отгруженных товаров, работ и услуг промышленного производства                     по крупным и средним организациям 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полугодие 2024 года составил 7593,3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увеличение к январю-июню</w:t>
      </w:r>
      <w:r w:rsidRPr="005C7358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2023 года на 24,4% (48,9% от оценки за 2024 год), в том числе по фактическим видам деятельности: обрабатывающие производства - рост на 25,4%; обеспечение электрической энергией, газом и паром - рост на 6,4%; водоснабжение и водоотведение - рост на 4,9%.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разрезе основных видов промышленной продукции за январь-июнь 2024 года к январю-июню 2023 года возросло производство: молока, кроме сырого (120,4%); сыров (121,1%); творога (100,1%); продуктов кисломолочных (кроме сметаны) (143,6%); сметаны (105,5%); комбикормов (112,9%); кондитерских изделий (108,6%);</w:t>
      </w:r>
      <w:r w:rsidRPr="005C7358">
        <w:rPr>
          <w:rFonts w:ascii="Liberation Serif" w:hAnsi="Liberation Serif" w:cs="Liberation Serif"/>
          <w:color w:val="C9211E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плит древесностружечных (107,3%); </w:t>
      </w:r>
      <w:r w:rsidRPr="005C7358">
        <w:rPr>
          <w:rFonts w:ascii="Liberation Serif" w:hAnsi="Liberation Serif" w:cs="Liberation Serif"/>
          <w:color w:val="C9211E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пара и горячей воды (104,1%)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>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Объем отгруженных товаров собственного производства, выполненных работ и услуг промышленного производства по крупным и средним организациям в 2024 году ожидается в сумме 15516,3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к уровню 2023 года увеличение на 22,4% за счет обрабатывающих производств (новое фанерное производство в п. Вохтога).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Доля обрабатывающих производств в общем объеме промышленного производства в 2024 году ожидается 96,3%. Рост объема отгруженных товаров собственного производства, выполненных работ и услуг промышленного производства по крупным и средним организациям в 2025 году к уровню 2024 года прогнозируется 123,7% за счет обрабатывающих производств. В 2026-2027 годах прогнозируется увеличение на 6,1%.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Оборот розничной торговли 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>по крупным и средним организациям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за 2023 год составил 3163,3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по сравнению с уровнем 2022 года увеличение                        в действующих ценах на 19,2%.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расчете на одного жителя оборот розничной торговли в 2023 году составил 99,3 тыс. рублей, рост к уровню 2022 года составил 120,5%. </w:t>
      </w:r>
    </w:p>
    <w:p w:rsidR="005C7358" w:rsidRPr="005C7358" w:rsidRDefault="005C7358" w:rsidP="005C7358">
      <w:pPr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 xml:space="preserve">Оборот розничной торговли по крупным и средним организациям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полугодие 2024 года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>составил 1657,8 млн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 xml:space="preserve"> рублей (48,1% от оценки за 2024 год), по</w:t>
      </w:r>
      <w:r w:rsidRPr="005C7358">
        <w:rPr>
          <w:rFonts w:ascii="Liberation Serif" w:hAnsi="Liberation Serif" w:cs="Liberation Serif"/>
          <w:color w:val="FF0000"/>
          <w:sz w:val="26"/>
          <w:szCs w:val="26"/>
          <w:shd w:val="clear" w:color="auto" w:fill="FFFFFF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 xml:space="preserve">сравнению с январем-июнем 2023 года увеличился в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действующих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 xml:space="preserve"> ценах на 17,4%. Удельный вес пищевых продуктов в обороте розничной торговли равен 49,8%                    (за январь-июнь 2023 года – 50,2%).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Оборот розничной торговли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shd w:val="clear" w:color="auto" w:fill="FFFFFF"/>
          <w:lang w:eastAsia="zh-CN"/>
        </w:rPr>
        <w:t xml:space="preserve">по крупным и средним организациям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2024 году ожидается в сумме 3450,0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рублей, по сравнению с уровнем 2023 года увеличение в действующих ценах на 9,1%.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shd w:val="clear" w:color="auto" w:fill="FFFFFF"/>
          <w:lang w:eastAsia="zh-CN"/>
        </w:rPr>
        <w:t xml:space="preserve">В 2025-2027 годах прогнозируется прирост                           в действующих ценах в среднем 7,8%.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2024 году оборот розничной торговли                        в расчете на одного жителя ожидается 109,4 тыс. рублей (рост на 10,2%). В 2025-2027 годах прирост прогнозируется в среднем 8,3%.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Оборот общественного питания 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>по крупным и средним организациям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за 2023 год по сравнению с уровнем 2022 года увеличился в действующих ценах на 22,1%                     и составил 43,6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рублей. В расчете на одного жителя оборот общественного питания составил 1,4 тыс. рублей,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 xml:space="preserve">увеличение к уровню 2022 года на 27,3%. </w:t>
      </w:r>
    </w:p>
    <w:p w:rsidR="005C7358" w:rsidRPr="005C7358" w:rsidRDefault="005C7358" w:rsidP="005C7358">
      <w:pPr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Оборот общественного питания 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 xml:space="preserve">по крупным и средним организациям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полугодие 2024 года составил 19,8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 (44,5% от оценки за 2024 год),                   </w:t>
      </w:r>
      <w:r w:rsidRPr="005C735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  <w:lang w:eastAsia="zh-CN"/>
        </w:rPr>
        <w:t>по сравнению с январем-июнем 2023 года увеличился в действующих ценах на 9,0%.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Оборот общественного питания по крупным и средним организациям в 2024 году ожидается в сумме 44,5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рублей, по сравнению с уровнем 2023 года увеличение в действующих ценах на 2,1%</w:t>
      </w:r>
      <w:r w:rsidRPr="005C7358">
        <w:rPr>
          <w:rFonts w:ascii="Liberation Serif" w:hAnsi="Liberation Serif" w:cs="Liberation Serif"/>
          <w:color w:val="FF0000"/>
          <w:sz w:val="26"/>
          <w:szCs w:val="26"/>
          <w:highlight w:val="white"/>
          <w:lang w:eastAsia="zh-CN"/>
        </w:rPr>
        <w:t xml:space="preserve">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расчете на одного жителя за 2024 год оборот общественного питания составит 1,4 тыс. рублей (увеличение на 2,9%).</w:t>
      </w:r>
      <w:r w:rsidRPr="005C7358">
        <w:rPr>
          <w:rFonts w:ascii="Liberation Serif" w:hAnsi="Liberation Serif" w:cs="Liberation Serif"/>
          <w:color w:val="FF0000"/>
          <w:sz w:val="26"/>
          <w:szCs w:val="26"/>
          <w:highlight w:val="white"/>
          <w:lang w:eastAsia="zh-CN"/>
        </w:rPr>
        <w:t xml:space="preserve">                     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2025-2027 годах прогнозируется увеличение оборота общественного питания                       в среднем на 5,3%.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Платные услуги населению по крупным и средним организациям за 2023 год               в действующих ценах увеличились на 7,5% и составили 451,8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рублей. В расчете на одного жителя оказано платных услуг населению на сумму 14,2 тыс. рублей, увеличение к уровню 2022 года составило 108,4%. 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полугодие 2024 года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платные услуги населению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highlight w:val="white"/>
          <w:lang w:eastAsia="zh-CN"/>
        </w:rPr>
        <w:t xml:space="preserve">по крупным и средним организациям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составили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shd w:val="clear" w:color="auto" w:fill="FFFFFF"/>
          <w:lang w:eastAsia="zh-CN"/>
        </w:rPr>
        <w:t>268,5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млн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рублей</w:t>
      </w:r>
      <w:r w:rsidRPr="005C7358">
        <w:rPr>
          <w:rFonts w:ascii="Liberation Serif" w:hAnsi="Liberation Serif" w:cs="Liberation Serif"/>
          <w:color w:val="FF0000"/>
          <w:sz w:val="26"/>
          <w:szCs w:val="26"/>
          <w:highlight w:val="white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(55,7% от оценки за 2024 год)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,                            </w:t>
      </w:r>
      <w:r w:rsidRPr="005C7358">
        <w:rPr>
          <w:rFonts w:ascii="Liberation Serif" w:hAnsi="Liberation Serif" w:cs="Liberation Serif"/>
          <w:color w:val="FF0000"/>
          <w:sz w:val="26"/>
          <w:szCs w:val="26"/>
          <w:highlight w:val="white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по сравнению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 аналогичным периодом предыдущего года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рост в действующих ценах на 3,5%.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highlight w:val="white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Оказано платных услуг в расчете на одного жителя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shd w:val="clear" w:color="auto" w:fill="FFFFFF"/>
          <w:lang w:eastAsia="zh-CN"/>
        </w:rPr>
        <w:t>в среднем 8,5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тыс. рублей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shd w:val="clear" w:color="auto" w:fill="FFFFFF"/>
          <w:lang w:eastAsia="zh-CN"/>
        </w:rPr>
        <w:t>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Платные услуги населению по крупным и средним организациям в 2024 году ожидаются в сумме 482,0 млн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рублей, увеличение к уровню 2023 года в действующих ценах на 6,7%. В расчете на одного жителя платных услуг населению за 2024 год ожидается 15,3 тыс. рублей (увеличение на 7,7%). В 2025-2027 годах прогнозируется увеличение платных услуг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населению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 крупным и средним организациям в среднем на 5,8%.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Прогноз численности населения до 18 лет (17 лет включительно) составлялся на основании статистической информации. Численность населения до 18 лет на 1 января 2024 г. составила 6625 человек, уменьшение по сравнению с аналогичным периодом предыдущего года на 2,2% или на 147 человек. По оценке численность населения до 18 лет на 1 января 2025 г. ожидается 6573 человека, уменьшение на 0,8% по сравнению с аналогичным периодом предыдущего года за счет уменьшения рождаемости, ежегодно численность родившихся не превышает численность достигших 18 летнего возраста.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2025 году прогнозируется численность населения до 18 лет 6541 человек (снижение на 0,5%). В 2026-2027 годах прогнозируется снижение численности населения до 18 лет в среднем на 0,4% (соответственно 6518 человек и 6498 человек). </w:t>
      </w:r>
    </w:p>
    <w:p w:rsidR="005C7358" w:rsidRPr="005C7358" w:rsidRDefault="005C7358" w:rsidP="005C7358">
      <w:pPr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Основным фактором сокращения численности населения округа является естественная убыль населения. За 2023 год по данным </w:t>
      </w:r>
      <w:proofErr w:type="spellStart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Вологдастат</w:t>
      </w:r>
      <w:proofErr w:type="spellEnd"/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естественная убыль составила (-273) человека (за 2022 год (-287 человек).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полугодие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2024 года родилось 108 человек, уменьшение к январю-июню 2023 года на 10 человек или                           на 8,5% (в целом по области снижение на 7,5%).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Число умерших составило 282 человека, увеличение к январю-июню 2023 года на 13 человек или на 4,8% (в целом по области увеличение на 4,9%). Естественная убыль составила (-174) человека (за январь-июнь 2023 года - (-151) человек).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Отношение числа родившихся к числу умерших по округу соответствует 38,3% (по области - 49,0%). </w:t>
      </w:r>
    </w:p>
    <w:p w:rsidR="005C7358" w:rsidRPr="005C7358" w:rsidRDefault="005C7358" w:rsidP="005C7358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В 2023 году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миграционная убыль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составила (-145)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человек, в том числе:                             в городской местности - (-85) человек, в сельской местности - (-60) человек.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Прибыло в округ 285 человек, в том числе: в городскую местность – 161 человек, в сельскую местность – 124 человека; выбыло – 430 человек, в том числе: из городской местности – 246 человек, из сельской местности – 184 человека.</w:t>
      </w:r>
    </w:p>
    <w:p w:rsidR="005C7358" w:rsidRPr="005C7358" w:rsidRDefault="005C7358" w:rsidP="005C7358">
      <w:pPr>
        <w:widowControl w:val="0"/>
        <w:tabs>
          <w:tab w:val="left" w:pos="624"/>
        </w:tabs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Миграционная убыль за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val="en-US" w:eastAsia="zh-CN"/>
        </w:rPr>
        <w:t>I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полугодие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2024 года составила (-14) </w:t>
      </w:r>
      <w:r w:rsidRPr="005C7358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человек, в том числе: в городской местности - (-9) человек, в сельской местности - (-5) человек (за январь-июнь 2023 года миграционная убыль - (-46) человек).</w:t>
      </w:r>
      <w:r w:rsidRPr="005C7358">
        <w:rPr>
          <w:rFonts w:ascii="Liberation Serif" w:hAnsi="Liberation Serif" w:cs="Liberation Serif"/>
          <w:bCs/>
          <w:color w:val="C9211E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Прибыло в округ 164 человека, в том числе: в городскую местность – 92 человека, в сельскую местность – 72 человека; выбыло – 178 человек, в том числе: из городской местности – 101 человек, из сельской местности – 77 человек.</w:t>
      </w:r>
    </w:p>
    <w:p w:rsidR="005C7358" w:rsidRPr="005C7358" w:rsidRDefault="005C7358" w:rsidP="005C7358">
      <w:pPr>
        <w:widowControl w:val="0"/>
        <w:tabs>
          <w:tab w:val="left" w:pos="624"/>
        </w:tabs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возрастной структуре населения округа за 2021-2023 годы с учетом итогов Всероссийской переписи населения 2020 года, проведенной в 2021 году, наблюдается  уменьшение населения моложе трудоспособного возраста на 496 человек или на 8,0%, увеличение населения трудоспособного возраста на 101 человек или на 0,6%, уменьшение населения старше трудоспособного возраста на 239 человек или на 2,9%.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По структуре численности населения по возрастным группам на начало 2024 года распределение следующее: моложе трудоспособного возраста - 18,0%; трудоспособного возраста - 56,9%; старше трудоспособного возраста - 25,1%.</w:t>
      </w:r>
      <w:r w:rsidRPr="005C7358">
        <w:rPr>
          <w:rFonts w:ascii="Liberation Serif" w:hAnsi="Liberation Serif" w:cs="Liberation Serif"/>
          <w:color w:val="FF0000"/>
          <w:sz w:val="26"/>
          <w:szCs w:val="26"/>
          <w:lang w:eastAsia="zh-CN"/>
        </w:rPr>
        <w:t xml:space="preserve">                         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На начало 2024 года в округе на 1000 жителей трудоспособного возраста приходилось 757 человек нетрудоспособного возраста, из них 42% приходилось на детей, остальные - на лиц старше трудоспособного возраста. </w:t>
      </w:r>
    </w:p>
    <w:p w:rsidR="005C7358" w:rsidRPr="005C7358" w:rsidRDefault="005C7358" w:rsidP="005C7358">
      <w:pPr>
        <w:widowControl w:val="0"/>
        <w:tabs>
          <w:tab w:val="left" w:pos="624"/>
        </w:tabs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За 2023 год среднегодовая численность населения составила 31869 человек, уменьшение к уровню 2022 года на 1,0%. В 2024 году ожидается среднегодовая численность населения 31535 человек, </w:t>
      </w:r>
      <w:r w:rsidRPr="005C735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по сравнению с уровнем 2023 года снижение на 1,0%. </w:t>
      </w: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 2025-2027 годах снижение среднегодовой численности населения прогнозируется в среднем на 0,7%.</w:t>
      </w:r>
    </w:p>
    <w:p w:rsidR="005C7358" w:rsidRPr="005C7358" w:rsidRDefault="005C7358" w:rsidP="005C7358">
      <w:pPr>
        <w:widowControl w:val="0"/>
        <w:shd w:val="clear" w:color="auto" w:fill="FFFFFF"/>
        <w:tabs>
          <w:tab w:val="left" w:pos="624"/>
        </w:tabs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35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Прогноз социально-экономического развития на среднесрочный период 2025-2027 годов характеризуется общей позитивной тенденцией к устойчивому росту основных социально-экономических показателей: рост объема отгруженных товаров собственного производства, выполненных работ и услуг промышленного производства - в среднем 112,0%; рост оборота розничной торговли - в среднем 107,8%; рост платных услуг населению - в среднем 105,8%; рост среднемесячной заработной платы - в среднем 108,4%. </w:t>
      </w:r>
    </w:p>
    <w:p w:rsidR="005C7358" w:rsidRPr="005C7358" w:rsidRDefault="005C7358" w:rsidP="005C735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5C7358" w:rsidRPr="005C7358" w:rsidSect="00F13843">
      <w:headerReference w:type="default" r:id="rId12"/>
      <w:pgSz w:w="11906" w:h="16838"/>
      <w:pgMar w:top="1134" w:right="567" w:bottom="1134" w:left="1701" w:header="720" w:footer="0" w:gutter="0"/>
      <w:pgNumType w:start="4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1C" w:rsidRDefault="00D9761C">
      <w:r>
        <w:separator/>
      </w:r>
    </w:p>
  </w:endnote>
  <w:endnote w:type="continuationSeparator" w:id="0">
    <w:p w:rsidR="00D9761C" w:rsidRDefault="00D9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V Bol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sans-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1C" w:rsidRDefault="00D9761C">
      <w:r>
        <w:separator/>
      </w:r>
    </w:p>
  </w:footnote>
  <w:footnote w:type="continuationSeparator" w:id="0">
    <w:p w:rsidR="00D9761C" w:rsidRDefault="00D9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687189"/>
      <w:docPartObj>
        <w:docPartGallery w:val="Page Numbers (Top of Page)"/>
        <w:docPartUnique/>
      </w:docPartObj>
    </w:sdtPr>
    <w:sdtEndPr/>
    <w:sdtContent>
      <w:p w:rsidR="005C7358" w:rsidRDefault="005C7358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D6C33">
          <w:rPr>
            <w:noProof/>
          </w:rPr>
          <w:t>3</w:t>
        </w:r>
        <w:r>
          <w:fldChar w:fldCharType="end"/>
        </w:r>
      </w:p>
    </w:sdtContent>
  </w:sdt>
  <w:p w:rsidR="005C7358" w:rsidRDefault="005C73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43" w:rsidRDefault="00F13843">
    <w:pPr>
      <w:pStyle w:val="af7"/>
      <w:jc w:val="center"/>
    </w:pPr>
  </w:p>
  <w:p w:rsidR="00F13843" w:rsidRDefault="00F13843" w:rsidP="00F13843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43" w:rsidRDefault="00F13843">
    <w:pPr>
      <w:pStyle w:val="af7"/>
      <w:jc w:val="center"/>
    </w:pPr>
    <w:r>
      <w:t>2</w:t>
    </w:r>
  </w:p>
  <w:p w:rsidR="00F13843" w:rsidRDefault="00F13843" w:rsidP="00F13843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516690"/>
      <w:docPartObj>
        <w:docPartGallery w:val="Page Numbers (Top of Page)"/>
        <w:docPartUnique/>
      </w:docPartObj>
    </w:sdtPr>
    <w:sdtEndPr/>
    <w:sdtContent>
      <w:p w:rsidR="005C7358" w:rsidRDefault="005C7358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D6C33">
          <w:rPr>
            <w:noProof/>
          </w:rPr>
          <w:t>6</w:t>
        </w:r>
        <w:r>
          <w:fldChar w:fldCharType="end"/>
        </w:r>
      </w:p>
      <w:p w:rsidR="005C7358" w:rsidRDefault="00D9761C">
        <w:pPr>
          <w:pStyle w:val="af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A6"/>
    <w:rsid w:val="0004022E"/>
    <w:rsid w:val="000A3F56"/>
    <w:rsid w:val="0012412C"/>
    <w:rsid w:val="00216136"/>
    <w:rsid w:val="003B7627"/>
    <w:rsid w:val="003F3702"/>
    <w:rsid w:val="00451160"/>
    <w:rsid w:val="004871BD"/>
    <w:rsid w:val="0054659C"/>
    <w:rsid w:val="00576409"/>
    <w:rsid w:val="00594A5C"/>
    <w:rsid w:val="005C7358"/>
    <w:rsid w:val="005D177E"/>
    <w:rsid w:val="005E36A4"/>
    <w:rsid w:val="006A2815"/>
    <w:rsid w:val="006C056A"/>
    <w:rsid w:val="006E56DF"/>
    <w:rsid w:val="006F5856"/>
    <w:rsid w:val="0071742E"/>
    <w:rsid w:val="008212B9"/>
    <w:rsid w:val="00891514"/>
    <w:rsid w:val="008E7CEF"/>
    <w:rsid w:val="0093425A"/>
    <w:rsid w:val="00996BD4"/>
    <w:rsid w:val="009B4D15"/>
    <w:rsid w:val="009C5BE9"/>
    <w:rsid w:val="009F0628"/>
    <w:rsid w:val="00A4077A"/>
    <w:rsid w:val="00A931E4"/>
    <w:rsid w:val="00AD3980"/>
    <w:rsid w:val="00B60244"/>
    <w:rsid w:val="00B84FDE"/>
    <w:rsid w:val="00BD6C33"/>
    <w:rsid w:val="00C40D27"/>
    <w:rsid w:val="00C60048"/>
    <w:rsid w:val="00CF746F"/>
    <w:rsid w:val="00D9761C"/>
    <w:rsid w:val="00DF46D2"/>
    <w:rsid w:val="00E620A6"/>
    <w:rsid w:val="00E71C52"/>
    <w:rsid w:val="00F13843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B9D69-1EB5-46BF-A246-783B1DE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480A-6CF5-4E79-820F-7F7DC02F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Андрюшина Наталья Сергеевна</dc:creator>
  <cp:lastModifiedBy>Н.К. Абакумкина</cp:lastModifiedBy>
  <cp:revision>2</cp:revision>
  <cp:lastPrinted>2024-11-08T07:02:00Z</cp:lastPrinted>
  <dcterms:created xsi:type="dcterms:W3CDTF">2024-11-12T11:56:00Z</dcterms:created>
  <dcterms:modified xsi:type="dcterms:W3CDTF">2024-11-12T11:56:00Z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