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73" w:rsidRDefault="00BE22F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52428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-445135</wp:posOffset>
            </wp:positionV>
            <wp:extent cx="509270" cy="657225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-246" t="-191" r="-245" b="-191"/>
                    <a:stretch/>
                  </pic:blipFill>
                  <pic:spPr bwMode="auto">
                    <a:xfrm>
                      <a:off x="0" y="0"/>
                      <a:ext cx="5092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073" w:rsidRDefault="00B96073">
      <w:pPr>
        <w:jc w:val="center"/>
        <w:rPr>
          <w:b/>
        </w:rPr>
      </w:pPr>
    </w:p>
    <w:p w:rsidR="00B96073" w:rsidRDefault="00BE22F8">
      <w:pPr>
        <w:jc w:val="center"/>
      </w:pPr>
      <w:r>
        <w:rPr>
          <w:b/>
          <w:sz w:val="26"/>
          <w:szCs w:val="26"/>
        </w:rPr>
        <w:t>ЗЕМСКОЕ СОБРАНИЕ ГРЯЗОВЕЦКОГО МУНИЦИПАЛЬНОГО ОКРУГА</w:t>
      </w:r>
    </w:p>
    <w:p w:rsidR="00B96073" w:rsidRDefault="00B96073">
      <w:pPr>
        <w:jc w:val="center"/>
        <w:rPr>
          <w:b/>
          <w:bCs/>
          <w:sz w:val="26"/>
          <w:szCs w:val="26"/>
        </w:rPr>
      </w:pPr>
    </w:p>
    <w:p w:rsidR="00B96073" w:rsidRDefault="00BE22F8">
      <w:pPr>
        <w:jc w:val="center"/>
      </w:pPr>
      <w:r>
        <w:rPr>
          <w:b/>
          <w:sz w:val="36"/>
          <w:szCs w:val="36"/>
        </w:rPr>
        <w:t>РЕШЕНИЕ</w:t>
      </w:r>
    </w:p>
    <w:p w:rsidR="00B96073" w:rsidRDefault="00B96073">
      <w:pPr>
        <w:jc w:val="center"/>
        <w:rPr>
          <w:b/>
          <w:bCs/>
          <w:sz w:val="26"/>
          <w:szCs w:val="26"/>
        </w:rPr>
      </w:pPr>
    </w:p>
    <w:p w:rsidR="00B96073" w:rsidRDefault="00BE22F8">
      <w:pPr>
        <w:ind w:right="5102"/>
        <w:jc w:val="both"/>
      </w:pPr>
      <w:r>
        <w:rPr>
          <w:bCs/>
          <w:sz w:val="26"/>
          <w:szCs w:val="26"/>
        </w:rPr>
        <w:t xml:space="preserve">от                                    № </w:t>
      </w:r>
    </w:p>
    <w:p w:rsidR="00B96073" w:rsidRDefault="00BE22F8">
      <w:pPr>
        <w:ind w:right="5102"/>
        <w:jc w:val="center"/>
      </w:pPr>
      <w:proofErr w:type="spellStart"/>
      <w:r>
        <w:rPr>
          <w:bCs/>
        </w:rPr>
        <w:t>г</w:t>
      </w:r>
      <w:proofErr w:type="gramStart"/>
      <w:r>
        <w:rPr>
          <w:bCs/>
        </w:rPr>
        <w:t>.Г</w:t>
      </w:r>
      <w:proofErr w:type="gramEnd"/>
      <w:r>
        <w:rPr>
          <w:bCs/>
        </w:rPr>
        <w:t>рязовец</w:t>
      </w:r>
      <w:proofErr w:type="spellEnd"/>
    </w:p>
    <w:p w:rsidR="00B96073" w:rsidRDefault="00B96073">
      <w:pPr>
        <w:ind w:right="5102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96073">
        <w:trPr>
          <w:trHeight w:val="134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5CE5" w:rsidRDefault="00375CE5" w:rsidP="00375CE5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B96073" w:rsidRDefault="00BE22F8" w:rsidP="00375CE5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О внесении изменений</w:t>
            </w:r>
            <w:r w:rsidR="00D27C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 Устав Грязовецкого муниципального округа Вологодской области </w:t>
            </w:r>
          </w:p>
          <w:p w:rsidR="00375CE5" w:rsidRDefault="00375CE5" w:rsidP="00375CE5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375CE5" w:rsidRDefault="00375CE5" w:rsidP="00375CE5">
            <w:pPr>
              <w:ind w:right="62"/>
              <w:jc w:val="both"/>
            </w:pPr>
          </w:p>
        </w:tc>
      </w:tr>
    </w:tbl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B96073" w:rsidRDefault="00BE22F8">
      <w:pPr>
        <w:ind w:firstLine="708"/>
        <w:jc w:val="both"/>
      </w:pPr>
      <w:r>
        <w:rPr>
          <w:b/>
          <w:sz w:val="26"/>
          <w:szCs w:val="26"/>
        </w:rPr>
        <w:t>Земское Собрание округа РЕШИЛО:</w:t>
      </w:r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Устав Грязовецкого муниципального округа Вологодской области, принятый решением Земского Собрания Грязовецкого муниципального округа от 27.10.2022 №32, следующие изменения:</w:t>
      </w:r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5CE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75CE5">
        <w:rPr>
          <w:sz w:val="26"/>
          <w:szCs w:val="26"/>
        </w:rPr>
        <w:t>п</w:t>
      </w:r>
      <w:r w:rsidR="00A12D7F">
        <w:rPr>
          <w:sz w:val="26"/>
          <w:szCs w:val="26"/>
        </w:rPr>
        <w:t>ункт</w:t>
      </w:r>
      <w:r w:rsidR="00051DBC">
        <w:rPr>
          <w:sz w:val="26"/>
          <w:szCs w:val="26"/>
        </w:rPr>
        <w:t>ы</w:t>
      </w:r>
      <w:r w:rsidR="00A12D7F">
        <w:rPr>
          <w:sz w:val="26"/>
          <w:szCs w:val="26"/>
        </w:rPr>
        <w:t xml:space="preserve"> </w:t>
      </w:r>
      <w:r w:rsidR="005C0551">
        <w:rPr>
          <w:sz w:val="26"/>
          <w:szCs w:val="26"/>
        </w:rPr>
        <w:t>16</w:t>
      </w:r>
      <w:r w:rsidR="00051DBC">
        <w:rPr>
          <w:sz w:val="26"/>
          <w:szCs w:val="26"/>
        </w:rPr>
        <w:t>, 17</w:t>
      </w:r>
      <w:r w:rsidR="00A12D7F">
        <w:rPr>
          <w:sz w:val="26"/>
          <w:szCs w:val="26"/>
        </w:rPr>
        <w:t xml:space="preserve"> части 1 статьи 6</w:t>
      </w:r>
      <w:r>
        <w:rPr>
          <w:sz w:val="26"/>
          <w:szCs w:val="26"/>
        </w:rPr>
        <w:t xml:space="preserve"> изложить в следующей редакции:</w:t>
      </w:r>
    </w:p>
    <w:p w:rsidR="00051DBC" w:rsidRDefault="00BE22F8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1DBC">
        <w:rPr>
          <w:sz w:val="26"/>
          <w:szCs w:val="26"/>
        </w:rPr>
        <w:t>16</w:t>
      </w:r>
      <w:r w:rsidR="00A12D7F">
        <w:rPr>
          <w:sz w:val="26"/>
          <w:szCs w:val="26"/>
        </w:rPr>
        <w:t xml:space="preserve">) </w:t>
      </w:r>
      <w:r w:rsidR="00051DBC">
        <w:rPr>
          <w:sz w:val="26"/>
          <w:szCs w:val="26"/>
        </w:rPr>
        <w:t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 w:rsidR="00A12D7F">
        <w:rPr>
          <w:sz w:val="26"/>
          <w:szCs w:val="26"/>
        </w:rPr>
        <w:t>;</w:t>
      </w:r>
    </w:p>
    <w:p w:rsidR="00A12D7F" w:rsidRDefault="00051DBC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17) </w:t>
      </w:r>
      <w:r>
        <w:rPr>
          <w:sz w:val="26"/>
          <w:szCs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sz w:val="26"/>
          <w:szCs w:val="26"/>
        </w:rPr>
        <w:t>»;</w:t>
      </w:r>
      <w:proofErr w:type="gramEnd"/>
    </w:p>
    <w:p w:rsidR="00051DBC" w:rsidRDefault="00051DBC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56AC3">
        <w:rPr>
          <w:sz w:val="26"/>
          <w:szCs w:val="26"/>
        </w:rPr>
        <w:t xml:space="preserve">пункт </w:t>
      </w:r>
      <w:r w:rsidR="00D56AC3">
        <w:rPr>
          <w:sz w:val="26"/>
          <w:szCs w:val="26"/>
        </w:rPr>
        <w:t>37</w:t>
      </w:r>
      <w:r w:rsidR="00D56AC3">
        <w:rPr>
          <w:sz w:val="26"/>
          <w:szCs w:val="26"/>
        </w:rPr>
        <w:t xml:space="preserve"> части 1 статьи 6 изложить в следующей редакции:</w:t>
      </w:r>
    </w:p>
    <w:p w:rsidR="00D56AC3" w:rsidRDefault="00D56AC3" w:rsidP="00D56A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«37</w:t>
      </w:r>
      <w:r w:rsidR="00A12D7F">
        <w:rPr>
          <w:sz w:val="26"/>
          <w:szCs w:val="26"/>
        </w:rPr>
        <w:t xml:space="preserve">) </w:t>
      </w:r>
      <w:r>
        <w:rPr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A12D7F" w:rsidRDefault="00A12D7F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1DBC" w:rsidRDefault="00051DBC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1DBC" w:rsidRDefault="00051DBC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12D7F" w:rsidRDefault="00D56AC3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75CE5">
        <w:rPr>
          <w:sz w:val="26"/>
          <w:szCs w:val="26"/>
        </w:rPr>
        <w:t>)</w:t>
      </w:r>
      <w:r w:rsidR="00A12D7F">
        <w:rPr>
          <w:sz w:val="26"/>
          <w:szCs w:val="26"/>
        </w:rPr>
        <w:t xml:space="preserve"> </w:t>
      </w:r>
      <w:r w:rsidR="00375CE5">
        <w:rPr>
          <w:sz w:val="26"/>
          <w:szCs w:val="26"/>
        </w:rPr>
        <w:t>ч</w:t>
      </w:r>
      <w:r w:rsidR="00A12D7F">
        <w:rPr>
          <w:sz w:val="26"/>
          <w:szCs w:val="26"/>
        </w:rPr>
        <w:t xml:space="preserve">асть 1 статьи 6 дополнить пунктом </w:t>
      </w:r>
      <w:r>
        <w:rPr>
          <w:sz w:val="26"/>
          <w:szCs w:val="26"/>
        </w:rPr>
        <w:t>50</w:t>
      </w:r>
      <w:r w:rsidR="00A12D7F">
        <w:rPr>
          <w:sz w:val="26"/>
          <w:szCs w:val="26"/>
        </w:rPr>
        <w:t xml:space="preserve"> следующего содержания:</w:t>
      </w:r>
    </w:p>
    <w:p w:rsidR="00A12D7F" w:rsidRDefault="00A12D7F" w:rsidP="00D56A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56AC3">
        <w:rPr>
          <w:sz w:val="26"/>
          <w:szCs w:val="26"/>
        </w:rPr>
        <w:t>50</w:t>
      </w:r>
      <w:r>
        <w:rPr>
          <w:sz w:val="26"/>
          <w:szCs w:val="26"/>
        </w:rPr>
        <w:t xml:space="preserve">) </w:t>
      </w:r>
      <w:r w:rsidR="00D56AC3">
        <w:rPr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r w:rsidR="00D56AC3" w:rsidRPr="00D56AC3">
        <w:rPr>
          <w:sz w:val="26"/>
          <w:szCs w:val="26"/>
        </w:rPr>
        <w:t>законом</w:t>
      </w:r>
      <w:r w:rsidR="00D56AC3">
        <w:rPr>
          <w:sz w:val="26"/>
          <w:szCs w:val="26"/>
        </w:rPr>
        <w:t xml:space="preserve"> от 7 июля 2003 года N 112-ФЗ "О личном подсобном хозяйс</w:t>
      </w:r>
      <w:r w:rsidR="00D56AC3">
        <w:rPr>
          <w:sz w:val="26"/>
          <w:szCs w:val="26"/>
        </w:rPr>
        <w:t xml:space="preserve">тве", в </w:t>
      </w:r>
      <w:proofErr w:type="spellStart"/>
      <w:r w:rsidR="00D56AC3">
        <w:rPr>
          <w:sz w:val="26"/>
          <w:szCs w:val="26"/>
        </w:rPr>
        <w:t>похозяйственных</w:t>
      </w:r>
      <w:proofErr w:type="spellEnd"/>
      <w:r w:rsidR="00D56AC3">
        <w:rPr>
          <w:sz w:val="26"/>
          <w:szCs w:val="26"/>
        </w:rPr>
        <w:t xml:space="preserve"> книгах</w:t>
      </w:r>
      <w:proofErr w:type="gramStart"/>
      <w:r w:rsidR="00D56AC3">
        <w:rPr>
          <w:sz w:val="26"/>
          <w:szCs w:val="26"/>
        </w:rPr>
        <w:t>.</w:t>
      </w:r>
      <w:r w:rsidR="00375CE5">
        <w:rPr>
          <w:sz w:val="26"/>
          <w:szCs w:val="26"/>
        </w:rPr>
        <w:t>»;</w:t>
      </w:r>
      <w:proofErr w:type="gramEnd"/>
    </w:p>
    <w:p w:rsidR="00A12D7F" w:rsidRDefault="00D56AC3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5CE5">
        <w:rPr>
          <w:sz w:val="26"/>
          <w:szCs w:val="26"/>
        </w:rPr>
        <w:t>)</w:t>
      </w:r>
      <w:r w:rsidR="00A12D7F">
        <w:rPr>
          <w:sz w:val="26"/>
          <w:szCs w:val="26"/>
        </w:rPr>
        <w:t xml:space="preserve"> част</w:t>
      </w:r>
      <w:r>
        <w:rPr>
          <w:sz w:val="26"/>
          <w:szCs w:val="26"/>
        </w:rPr>
        <w:t>ь</w:t>
      </w:r>
      <w:r w:rsidR="00A12D7F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A12D7F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8</w:t>
      </w:r>
      <w:r w:rsidR="00A12D7F">
        <w:rPr>
          <w:sz w:val="26"/>
          <w:szCs w:val="26"/>
        </w:rPr>
        <w:t xml:space="preserve"> изложить в следующей редакции:</w:t>
      </w:r>
    </w:p>
    <w:p w:rsidR="00921CDD" w:rsidRDefault="00A12D7F" w:rsidP="00921CD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56AC3">
        <w:rPr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 w:rsidR="00D56AC3" w:rsidRPr="006A6F12">
        <w:rPr>
          <w:sz w:val="26"/>
          <w:szCs w:val="26"/>
        </w:rPr>
        <w:t xml:space="preserve">Органы местного самоуправления муниципального округа несут ответственность за осуществление </w:t>
      </w:r>
      <w:r w:rsidR="00BB10BD">
        <w:rPr>
          <w:sz w:val="26"/>
          <w:szCs w:val="26"/>
        </w:rPr>
        <w:t>переданных полномочий Российской Федерации, полномочий субъекта Российской Федерации в пределах</w:t>
      </w:r>
      <w:bookmarkStart w:id="0" w:name="_GoBack"/>
      <w:bookmarkEnd w:id="0"/>
      <w:r w:rsidR="00BB10BD">
        <w:rPr>
          <w:sz w:val="26"/>
          <w:szCs w:val="26"/>
        </w:rPr>
        <w:t xml:space="preserve"> субвенций, предоставленных местн</w:t>
      </w:r>
      <w:r w:rsidR="00BB10BD">
        <w:rPr>
          <w:sz w:val="26"/>
          <w:szCs w:val="26"/>
        </w:rPr>
        <w:t>ому</w:t>
      </w:r>
      <w:r w:rsidR="00BB10BD">
        <w:rPr>
          <w:sz w:val="26"/>
          <w:szCs w:val="26"/>
        </w:rPr>
        <w:t xml:space="preserve"> бюджет</w:t>
      </w:r>
      <w:r w:rsidR="00BB10BD">
        <w:rPr>
          <w:sz w:val="26"/>
          <w:szCs w:val="26"/>
        </w:rPr>
        <w:t>у</w:t>
      </w:r>
      <w:r w:rsidR="00BB10BD">
        <w:rPr>
          <w:sz w:val="26"/>
          <w:szCs w:val="26"/>
        </w:rPr>
        <w:t xml:space="preserve"> в целях финансового обеспечения осуществления соответствующих полномочий</w:t>
      </w:r>
      <w:proofErr w:type="gramStart"/>
      <w:r w:rsidR="00BB10B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375CE5">
        <w:rPr>
          <w:sz w:val="26"/>
          <w:szCs w:val="26"/>
        </w:rPr>
        <w:t>;</w:t>
      </w:r>
      <w:proofErr w:type="gramEnd"/>
    </w:p>
    <w:p w:rsidR="00921CDD" w:rsidRDefault="00921CDD" w:rsidP="00921C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115">
        <w:rPr>
          <w:sz w:val="26"/>
          <w:szCs w:val="26"/>
        </w:rPr>
        <w:t>5</w:t>
      </w:r>
      <w:r w:rsidR="00375CE5" w:rsidRPr="00463115">
        <w:rPr>
          <w:sz w:val="26"/>
          <w:szCs w:val="26"/>
        </w:rPr>
        <w:t>)</w:t>
      </w:r>
      <w:r w:rsidR="00270689" w:rsidRPr="00463115">
        <w:rPr>
          <w:sz w:val="26"/>
          <w:szCs w:val="26"/>
        </w:rPr>
        <w:t xml:space="preserve"> </w:t>
      </w:r>
      <w:r w:rsidRPr="00463115">
        <w:rPr>
          <w:sz w:val="26"/>
          <w:szCs w:val="26"/>
        </w:rPr>
        <w:t xml:space="preserve">в части </w:t>
      </w:r>
      <w:r w:rsidRPr="00463115">
        <w:rPr>
          <w:sz w:val="26"/>
          <w:szCs w:val="26"/>
        </w:rPr>
        <w:t>5 статьи 30</w:t>
      </w:r>
      <w:r w:rsidRPr="00463115">
        <w:rPr>
          <w:sz w:val="26"/>
          <w:szCs w:val="26"/>
        </w:rPr>
        <w:t xml:space="preserve"> слова </w:t>
      </w:r>
      <w:r w:rsidRPr="00463115">
        <w:rPr>
          <w:sz w:val="26"/>
          <w:szCs w:val="26"/>
        </w:rPr>
        <w:t>«</w:t>
      </w:r>
      <w:r w:rsidRPr="00463115">
        <w:rPr>
          <w:sz w:val="26"/>
          <w:szCs w:val="26"/>
        </w:rPr>
        <w:t>законодательных (представительных) органов государственной власти</w:t>
      </w:r>
      <w:r w:rsidRPr="00463115">
        <w:rPr>
          <w:sz w:val="26"/>
          <w:szCs w:val="26"/>
        </w:rPr>
        <w:t>»</w:t>
      </w:r>
      <w:r w:rsidRPr="00463115">
        <w:rPr>
          <w:sz w:val="26"/>
          <w:szCs w:val="26"/>
        </w:rPr>
        <w:t xml:space="preserve"> заменить словами </w:t>
      </w:r>
      <w:r w:rsidRPr="00463115">
        <w:rPr>
          <w:sz w:val="26"/>
          <w:szCs w:val="26"/>
        </w:rPr>
        <w:t>«</w:t>
      </w:r>
      <w:r w:rsidRPr="00463115">
        <w:rPr>
          <w:sz w:val="26"/>
          <w:szCs w:val="26"/>
        </w:rPr>
        <w:t>законодательных органов</w:t>
      </w:r>
      <w:r w:rsidRPr="00463115">
        <w:rPr>
          <w:sz w:val="26"/>
          <w:szCs w:val="26"/>
        </w:rPr>
        <w:t>»;</w:t>
      </w:r>
    </w:p>
    <w:p w:rsidR="00463115" w:rsidRDefault="00463115" w:rsidP="004631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) часть 5 статьи 35 изложить в следующей редакции:</w:t>
      </w:r>
    </w:p>
    <w:p w:rsidR="00463115" w:rsidRPr="006A6F12" w:rsidRDefault="00463115" w:rsidP="004631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A6F12">
        <w:rPr>
          <w:sz w:val="26"/>
          <w:szCs w:val="26"/>
        </w:rPr>
        <w:t xml:space="preserve">5. В случае досрочного прекращения полномочий главы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sz w:val="26"/>
          <w:szCs w:val="26"/>
        </w:rPr>
        <w:t>первы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6A6F12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6A6F12">
        <w:rPr>
          <w:sz w:val="26"/>
          <w:szCs w:val="26"/>
        </w:rPr>
        <w:t xml:space="preserve"> глав</w:t>
      </w:r>
      <w:r>
        <w:rPr>
          <w:sz w:val="26"/>
          <w:szCs w:val="26"/>
        </w:rPr>
        <w:t xml:space="preserve">ы </w:t>
      </w:r>
      <w:proofErr w:type="spellStart"/>
      <w:r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на основании решения Земского Собрания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округа.</w:t>
      </w:r>
    </w:p>
    <w:p w:rsidR="00463115" w:rsidRDefault="00463115" w:rsidP="00463115">
      <w:pPr>
        <w:pStyle w:val="ConsNormal"/>
        <w:widowControl/>
        <w:ind w:firstLine="709"/>
        <w:jc w:val="both"/>
        <w:rPr>
          <w:sz w:val="26"/>
          <w:szCs w:val="26"/>
        </w:rPr>
      </w:pPr>
      <w:proofErr w:type="gramStart"/>
      <w:r w:rsidRPr="006A6F12">
        <w:rPr>
          <w:rFonts w:ascii="Times New Roman" w:hAnsi="Times New Roman"/>
          <w:sz w:val="26"/>
          <w:szCs w:val="26"/>
        </w:rPr>
        <w:t xml:space="preserve">В случае временного отсутствия главы </w:t>
      </w:r>
      <w:proofErr w:type="spellStart"/>
      <w:r w:rsidRPr="006A6F12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6A6F12">
        <w:rPr>
          <w:rFonts w:ascii="Times New Roman" w:hAnsi="Times New Roman"/>
          <w:sz w:val="26"/>
          <w:szCs w:val="26"/>
        </w:rPr>
        <w:t xml:space="preserve"> муниципального округа (за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должности) его полномочия, за исключением подписания или отклонения решений, принятых Земским </w:t>
      </w:r>
      <w:r>
        <w:rPr>
          <w:rFonts w:ascii="Times New Roman" w:hAnsi="Times New Roman"/>
          <w:sz w:val="26"/>
          <w:szCs w:val="26"/>
        </w:rPr>
        <w:t>С</w:t>
      </w:r>
      <w:r w:rsidRPr="006A6F12">
        <w:rPr>
          <w:rFonts w:ascii="Times New Roman" w:hAnsi="Times New Roman"/>
          <w:sz w:val="26"/>
          <w:szCs w:val="26"/>
        </w:rPr>
        <w:t xml:space="preserve">обранием </w:t>
      </w:r>
      <w:proofErr w:type="spellStart"/>
      <w:r w:rsidRPr="006A6F12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6A6F12">
        <w:rPr>
          <w:rFonts w:ascii="Times New Roman" w:hAnsi="Times New Roman"/>
          <w:sz w:val="26"/>
          <w:szCs w:val="26"/>
        </w:rPr>
        <w:t xml:space="preserve"> муниципального округа временно исполняет </w:t>
      </w:r>
      <w:r>
        <w:rPr>
          <w:rFonts w:ascii="Times New Roman" w:hAnsi="Times New Roman"/>
          <w:sz w:val="26"/>
          <w:szCs w:val="26"/>
        </w:rPr>
        <w:t>первы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6F12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6A6F12">
        <w:rPr>
          <w:rFonts w:ascii="Times New Roman" w:hAnsi="Times New Roman"/>
          <w:sz w:val="26"/>
          <w:szCs w:val="26"/>
        </w:rPr>
        <w:t xml:space="preserve"> главы </w:t>
      </w:r>
      <w:proofErr w:type="spellStart"/>
      <w:r w:rsidRPr="006A6F12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6A6F1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6A6F12">
        <w:rPr>
          <w:rFonts w:ascii="Times New Roman" w:hAnsi="Times New Roman"/>
          <w:b/>
          <w:sz w:val="26"/>
          <w:szCs w:val="26"/>
        </w:rPr>
        <w:t>,</w:t>
      </w:r>
      <w:r w:rsidRPr="006A6F12">
        <w:rPr>
          <w:rFonts w:ascii="Times New Roman" w:hAnsi="Times New Roman"/>
          <w:sz w:val="26"/>
          <w:szCs w:val="26"/>
        </w:rPr>
        <w:t xml:space="preserve"> а в случае отсутствия </w:t>
      </w:r>
      <w:r>
        <w:rPr>
          <w:rFonts w:ascii="Times New Roman" w:hAnsi="Times New Roman"/>
          <w:sz w:val="26"/>
          <w:szCs w:val="26"/>
        </w:rPr>
        <w:t>перв</w:t>
      </w:r>
      <w:r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6F12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я</w:t>
      </w:r>
      <w:r w:rsidRPr="006A6F12">
        <w:rPr>
          <w:rFonts w:ascii="Times New Roman" w:hAnsi="Times New Roman"/>
          <w:sz w:val="26"/>
          <w:szCs w:val="26"/>
        </w:rPr>
        <w:t xml:space="preserve"> главы </w:t>
      </w:r>
      <w:proofErr w:type="spellStart"/>
      <w:r w:rsidRPr="006A6F12">
        <w:rPr>
          <w:rFonts w:ascii="Times New Roman" w:hAnsi="Times New Roman"/>
          <w:sz w:val="26"/>
          <w:szCs w:val="26"/>
        </w:rPr>
        <w:t>Грязовецкого</w:t>
      </w:r>
      <w:proofErr w:type="spellEnd"/>
      <w:proofErr w:type="gramEnd"/>
      <w:r w:rsidRPr="006A6F12">
        <w:rPr>
          <w:rFonts w:ascii="Times New Roman" w:hAnsi="Times New Roman"/>
          <w:sz w:val="26"/>
          <w:szCs w:val="26"/>
        </w:rPr>
        <w:t xml:space="preserve"> </w:t>
      </w:r>
      <w:r w:rsidRPr="007F66E1">
        <w:rPr>
          <w:rFonts w:ascii="Times New Roman" w:hAnsi="Times New Roman"/>
          <w:sz w:val="26"/>
          <w:szCs w:val="26"/>
        </w:rPr>
        <w:t xml:space="preserve">муниципального округа – должностное лицо администрации </w:t>
      </w:r>
      <w:proofErr w:type="spellStart"/>
      <w:r w:rsidRPr="007F66E1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7F66E1">
        <w:rPr>
          <w:rFonts w:ascii="Times New Roman" w:hAnsi="Times New Roman"/>
          <w:sz w:val="26"/>
          <w:szCs w:val="26"/>
        </w:rPr>
        <w:t xml:space="preserve"> муниципального округа, на основании распоряжения главы </w:t>
      </w:r>
      <w:proofErr w:type="spellStart"/>
      <w:r w:rsidRPr="007F66E1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7F66E1">
        <w:rPr>
          <w:rFonts w:ascii="Times New Roman" w:hAnsi="Times New Roman"/>
          <w:sz w:val="26"/>
          <w:szCs w:val="26"/>
        </w:rPr>
        <w:t xml:space="preserve"> муниципального округа,</w:t>
      </w:r>
      <w:r w:rsidRPr="007F66E1">
        <w:t xml:space="preserve"> </w:t>
      </w:r>
      <w:r w:rsidRPr="007F66E1">
        <w:rPr>
          <w:rFonts w:ascii="Times New Roman" w:hAnsi="Times New Roman"/>
          <w:sz w:val="26"/>
          <w:szCs w:val="26"/>
        </w:rPr>
        <w:t xml:space="preserve">а в случае отсутствия такого распоряжения – решения Земского Собрания </w:t>
      </w:r>
      <w:proofErr w:type="spellStart"/>
      <w:r w:rsidRPr="007F66E1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7F66E1">
        <w:rPr>
          <w:rFonts w:ascii="Times New Roman" w:hAnsi="Times New Roman"/>
          <w:sz w:val="26"/>
          <w:szCs w:val="26"/>
        </w:rPr>
        <w:t xml:space="preserve"> муниципального округа</w:t>
      </w:r>
      <w:proofErr w:type="gramStart"/>
      <w:r w:rsidRPr="007F66E1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921CDD" w:rsidRPr="00463115" w:rsidRDefault="00463115" w:rsidP="00921C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1CDD" w:rsidRPr="00463115">
        <w:rPr>
          <w:sz w:val="26"/>
          <w:szCs w:val="26"/>
        </w:rPr>
        <w:t xml:space="preserve">) статью 47 </w:t>
      </w:r>
      <w:r w:rsidR="00921CDD" w:rsidRPr="00463115">
        <w:rPr>
          <w:sz w:val="26"/>
          <w:szCs w:val="26"/>
        </w:rPr>
        <w:t>дополнить частью 6 следующего содержания:</w:t>
      </w:r>
    </w:p>
    <w:p w:rsidR="00921CDD" w:rsidRPr="00463115" w:rsidRDefault="00921CDD" w:rsidP="00921C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115">
        <w:rPr>
          <w:sz w:val="26"/>
          <w:szCs w:val="26"/>
        </w:rPr>
        <w:t>«</w:t>
      </w:r>
      <w:r w:rsidRPr="00463115">
        <w:rPr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63115">
        <w:rPr>
          <w:sz w:val="26"/>
          <w:szCs w:val="26"/>
        </w:rPr>
        <w:t>.</w:t>
      </w:r>
      <w:r w:rsidRPr="00463115">
        <w:rPr>
          <w:sz w:val="26"/>
          <w:szCs w:val="26"/>
        </w:rPr>
        <w:t>»</w:t>
      </w:r>
      <w:r w:rsidRPr="00463115">
        <w:rPr>
          <w:sz w:val="26"/>
          <w:szCs w:val="26"/>
        </w:rPr>
        <w:t>.</w:t>
      </w:r>
      <w:proofErr w:type="gramEnd"/>
    </w:p>
    <w:p w:rsidR="00921CDD" w:rsidRPr="00463115" w:rsidRDefault="00463115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8</w:t>
      </w:r>
      <w:r w:rsidR="00921CDD" w:rsidRPr="00463115">
        <w:rPr>
          <w:sz w:val="26"/>
          <w:szCs w:val="26"/>
        </w:rPr>
        <w:t xml:space="preserve">) </w:t>
      </w:r>
      <w:hyperlink r:id="rId10" w:history="1">
        <w:r w:rsidR="00921CDD" w:rsidRPr="00463115">
          <w:rPr>
            <w:bCs/>
            <w:sz w:val="26"/>
            <w:szCs w:val="26"/>
          </w:rPr>
          <w:t xml:space="preserve">главу </w:t>
        </w:r>
      </w:hyperlink>
      <w:r w:rsidR="00921CDD" w:rsidRPr="00463115">
        <w:rPr>
          <w:bCs/>
          <w:sz w:val="26"/>
          <w:szCs w:val="26"/>
        </w:rPr>
        <w:t>7</w:t>
      </w:r>
      <w:r w:rsidR="00921CDD" w:rsidRPr="00463115">
        <w:rPr>
          <w:bCs/>
          <w:sz w:val="26"/>
          <w:szCs w:val="26"/>
        </w:rPr>
        <w:t xml:space="preserve"> дополнить статьей </w:t>
      </w:r>
      <w:r w:rsidR="00921CDD" w:rsidRPr="00463115">
        <w:rPr>
          <w:bCs/>
          <w:sz w:val="26"/>
          <w:szCs w:val="26"/>
        </w:rPr>
        <w:t>56</w:t>
      </w:r>
      <w:r w:rsidR="00921CDD" w:rsidRPr="00463115">
        <w:rPr>
          <w:bCs/>
          <w:sz w:val="26"/>
          <w:szCs w:val="26"/>
        </w:rPr>
        <w:t>.1 следующего содержания: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63115">
        <w:rPr>
          <w:bCs/>
          <w:sz w:val="26"/>
          <w:szCs w:val="26"/>
        </w:rPr>
        <w:t>«Статья 56</w:t>
      </w:r>
      <w:r w:rsidRPr="00921CDD">
        <w:rPr>
          <w:bCs/>
          <w:sz w:val="26"/>
          <w:szCs w:val="26"/>
        </w:rPr>
        <w:t>.1. Формы межмуниципального сотрудничества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>1. Межмуниципальное сотрудничество осуществляется в следующих формах: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>1) членство муниципальных образований в объединениях муниципальных образований;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>3) учреждение муниципальными образованиями некоммерческих организаций;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>4) заключение договоров и соглашений;</w:t>
      </w:r>
    </w:p>
    <w:p w:rsidR="00921CDD" w:rsidRP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t xml:space="preserve">5) организация </w:t>
      </w:r>
      <w:proofErr w:type="gramStart"/>
      <w:r w:rsidRPr="00921CDD">
        <w:rPr>
          <w:bCs/>
          <w:sz w:val="26"/>
          <w:szCs w:val="26"/>
        </w:rPr>
        <w:t>взаимодействия советов муниципальных образований субъектов Российской Федерации</w:t>
      </w:r>
      <w:proofErr w:type="gramEnd"/>
      <w:r w:rsidRPr="00921CDD">
        <w:rPr>
          <w:bCs/>
          <w:sz w:val="26"/>
          <w:szCs w:val="26"/>
        </w:rPr>
        <w:t>.</w:t>
      </w:r>
    </w:p>
    <w:p w:rsidR="00921CDD" w:rsidRDefault="00921CDD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21CDD">
        <w:rPr>
          <w:bCs/>
          <w:sz w:val="26"/>
          <w:szCs w:val="26"/>
        </w:rPr>
        <w:lastRenderedPageBreak/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921CDD">
        <w:rPr>
          <w:bCs/>
          <w:sz w:val="26"/>
          <w:szCs w:val="26"/>
        </w:rPr>
        <w:t>.</w:t>
      </w:r>
      <w:r w:rsidRPr="00921CDD">
        <w:rPr>
          <w:bCs/>
          <w:sz w:val="26"/>
          <w:szCs w:val="26"/>
        </w:rPr>
        <w:t>»</w:t>
      </w:r>
      <w:r w:rsidRPr="00921CDD">
        <w:rPr>
          <w:bCs/>
          <w:sz w:val="26"/>
          <w:szCs w:val="26"/>
        </w:rPr>
        <w:t>;</w:t>
      </w:r>
      <w:proofErr w:type="gramEnd"/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Настоящее решение вступает в силу после его официального опубликования следующего за государственной регистрацией.</w:t>
      </w:r>
    </w:p>
    <w:p w:rsidR="00B96073" w:rsidRDefault="00B96073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58"/>
        <w:gridCol w:w="4601"/>
      </w:tblGrid>
      <w:tr w:rsidR="00B96073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B96073" w:rsidRDefault="00B96073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>Глава Грязовецкого муниципального округа</w:t>
            </w:r>
          </w:p>
        </w:tc>
      </w:tr>
      <w:tr w:rsidR="00B96073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 xml:space="preserve">________________    </w:t>
            </w:r>
            <w:proofErr w:type="spellStart"/>
            <w:r>
              <w:rPr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 w:rsidP="001243A6">
            <w:r>
              <w:rPr>
                <w:sz w:val="26"/>
                <w:szCs w:val="26"/>
              </w:rPr>
              <w:t xml:space="preserve">________________          </w:t>
            </w:r>
            <w:r w:rsidR="001243A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1243A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1243A6">
              <w:rPr>
                <w:sz w:val="26"/>
                <w:szCs w:val="26"/>
              </w:rPr>
              <w:t xml:space="preserve"> </w:t>
            </w:r>
            <w:proofErr w:type="spellStart"/>
            <w:r w:rsidR="001243A6">
              <w:rPr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B96073" w:rsidRDefault="00B96073"/>
    <w:sectPr w:rsidR="00B9607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A0" w:rsidRDefault="008830A0">
      <w:r>
        <w:separator/>
      </w:r>
    </w:p>
  </w:endnote>
  <w:endnote w:type="continuationSeparator" w:id="0">
    <w:p w:rsidR="008830A0" w:rsidRDefault="008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A0" w:rsidRDefault="008830A0">
      <w:r>
        <w:separator/>
      </w:r>
    </w:p>
  </w:footnote>
  <w:footnote w:type="continuationSeparator" w:id="0">
    <w:p w:rsidR="008830A0" w:rsidRDefault="0088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64A"/>
    <w:multiLevelType w:val="multilevel"/>
    <w:tmpl w:val="49EA0C2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7F30"/>
    <w:multiLevelType w:val="hybridMultilevel"/>
    <w:tmpl w:val="7124E306"/>
    <w:lvl w:ilvl="0" w:tplc="FE24420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4B6FE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5EC1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9A6B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38C7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7616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50A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8AB9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5652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73"/>
    <w:rsid w:val="00051DBC"/>
    <w:rsid w:val="00057009"/>
    <w:rsid w:val="001243A6"/>
    <w:rsid w:val="00270689"/>
    <w:rsid w:val="003408D2"/>
    <w:rsid w:val="00375CE5"/>
    <w:rsid w:val="00463115"/>
    <w:rsid w:val="004C558A"/>
    <w:rsid w:val="00550392"/>
    <w:rsid w:val="005C0551"/>
    <w:rsid w:val="006813D4"/>
    <w:rsid w:val="008830A0"/>
    <w:rsid w:val="00921CDD"/>
    <w:rsid w:val="00994D18"/>
    <w:rsid w:val="00A12D7F"/>
    <w:rsid w:val="00B96073"/>
    <w:rsid w:val="00BB10BD"/>
    <w:rsid w:val="00BC590F"/>
    <w:rsid w:val="00BD6068"/>
    <w:rsid w:val="00BE22F8"/>
    <w:rsid w:val="00D27C7C"/>
    <w:rsid w:val="00D367FD"/>
    <w:rsid w:val="00D56AC3"/>
    <w:rsid w:val="00E23712"/>
    <w:rsid w:val="00E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bidi="en-US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2">
    <w:name w:val="Основной шрифт абзаца4"/>
  </w:style>
  <w:style w:type="character" w:customStyle="1" w:styleId="WW8Num2z0">
    <w:name w:val="WW8Num2z0"/>
    <w:rPr>
      <w:sz w:val="26"/>
      <w:szCs w:val="26"/>
    </w:rPr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afa">
    <w:name w:val="Символ нумерации"/>
  </w:style>
  <w:style w:type="character" w:customStyle="1" w:styleId="12">
    <w:name w:val="Основной шрифт абзаца1"/>
  </w:style>
  <w:style w:type="character" w:customStyle="1" w:styleId="noprint">
    <w:name w:val="noprint"/>
    <w:basedOn w:val="24"/>
  </w:style>
  <w:style w:type="character" w:customStyle="1" w:styleId="afb">
    <w:name w:val="Текст выноски Знак"/>
    <w:rPr>
      <w:rFonts w:ascii="Segoe UI" w:eastAsia="SimSun" w:hAnsi="Segoe UI"/>
      <w:sz w:val="18"/>
      <w:szCs w:val="16"/>
      <w:lang w:eastAsia="zh-CN" w:bidi="hi-IN"/>
    </w:rPr>
  </w:style>
  <w:style w:type="paragraph" w:customStyle="1" w:styleId="25">
    <w:name w:val="Заголовок2"/>
    <w:basedOn w:val="a"/>
    <w:next w:val="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customStyle="1" w:styleId="43">
    <w:name w:val="Указатель4"/>
    <w:basedOn w:val="a"/>
    <w:pPr>
      <w:suppressLineNumbers/>
    </w:pPr>
  </w:style>
  <w:style w:type="paragraph" w:customStyle="1" w:styleId="13">
    <w:name w:val="Заголовок1"/>
    <w:basedOn w:val="a"/>
    <w:next w:val="a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ConsPlusNormal">
    <w:name w:val="ConsPlusNormal"/>
    <w:rPr>
      <w:sz w:val="28"/>
      <w:szCs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tex2st">
    <w:name w:val="tex2st"/>
    <w:basedOn w:val="a"/>
    <w:pPr>
      <w:spacing w:before="280" w:after="280"/>
    </w:pPr>
    <w:rPr>
      <w:rFonts w:eastAsia="SimSun"/>
    </w:rPr>
  </w:style>
  <w:style w:type="paragraph" w:styleId="aff0">
    <w:name w:val="Balloon Text"/>
    <w:basedOn w:val="a"/>
    <w:rPr>
      <w:rFonts w:ascii="Segoe UI" w:hAnsi="Segoe UI"/>
      <w:sz w:val="18"/>
      <w:szCs w:val="16"/>
    </w:rPr>
  </w:style>
  <w:style w:type="paragraph" w:customStyle="1" w:styleId="ConsNormal">
    <w:name w:val="ConsNormal"/>
    <w:rsid w:val="00463115"/>
    <w:pPr>
      <w:widowControl w:val="0"/>
      <w:ind w:firstLine="720"/>
    </w:pPr>
    <w:rPr>
      <w:rFonts w:ascii="Arial" w:hAnsi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bidi="en-US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2">
    <w:name w:val="Основной шрифт абзаца4"/>
  </w:style>
  <w:style w:type="character" w:customStyle="1" w:styleId="WW8Num2z0">
    <w:name w:val="WW8Num2z0"/>
    <w:rPr>
      <w:sz w:val="26"/>
      <w:szCs w:val="26"/>
    </w:rPr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afa">
    <w:name w:val="Символ нумерации"/>
  </w:style>
  <w:style w:type="character" w:customStyle="1" w:styleId="12">
    <w:name w:val="Основной шрифт абзаца1"/>
  </w:style>
  <w:style w:type="character" w:customStyle="1" w:styleId="noprint">
    <w:name w:val="noprint"/>
    <w:basedOn w:val="24"/>
  </w:style>
  <w:style w:type="character" w:customStyle="1" w:styleId="afb">
    <w:name w:val="Текст выноски Знак"/>
    <w:rPr>
      <w:rFonts w:ascii="Segoe UI" w:eastAsia="SimSun" w:hAnsi="Segoe UI"/>
      <w:sz w:val="18"/>
      <w:szCs w:val="16"/>
      <w:lang w:eastAsia="zh-CN" w:bidi="hi-IN"/>
    </w:rPr>
  </w:style>
  <w:style w:type="paragraph" w:customStyle="1" w:styleId="25">
    <w:name w:val="Заголовок2"/>
    <w:basedOn w:val="a"/>
    <w:next w:val="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customStyle="1" w:styleId="43">
    <w:name w:val="Указатель4"/>
    <w:basedOn w:val="a"/>
    <w:pPr>
      <w:suppressLineNumbers/>
    </w:pPr>
  </w:style>
  <w:style w:type="paragraph" w:customStyle="1" w:styleId="13">
    <w:name w:val="Заголовок1"/>
    <w:basedOn w:val="a"/>
    <w:next w:val="a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ConsPlusNormal">
    <w:name w:val="ConsPlusNormal"/>
    <w:rPr>
      <w:sz w:val="28"/>
      <w:szCs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tex2st">
    <w:name w:val="tex2st"/>
    <w:basedOn w:val="a"/>
    <w:pPr>
      <w:spacing w:before="280" w:after="280"/>
    </w:pPr>
    <w:rPr>
      <w:rFonts w:eastAsia="SimSun"/>
    </w:rPr>
  </w:style>
  <w:style w:type="paragraph" w:styleId="aff0">
    <w:name w:val="Balloon Text"/>
    <w:basedOn w:val="a"/>
    <w:rPr>
      <w:rFonts w:ascii="Segoe UI" w:hAnsi="Segoe UI"/>
      <w:sz w:val="18"/>
      <w:szCs w:val="16"/>
    </w:rPr>
  </w:style>
  <w:style w:type="paragraph" w:customStyle="1" w:styleId="ConsNormal">
    <w:name w:val="ConsNormal"/>
    <w:rsid w:val="00463115"/>
    <w:pPr>
      <w:widowControl w:val="0"/>
      <w:ind w:firstLine="720"/>
    </w:pPr>
    <w:rPr>
      <w:rFonts w:ascii="Arial" w:hAnsi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369&amp;dst=1007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Пешкова</dc:creator>
  <cp:lastModifiedBy>Гаричева</cp:lastModifiedBy>
  <cp:revision>2</cp:revision>
  <cp:lastPrinted>2025-01-23T10:12:00Z</cp:lastPrinted>
  <dcterms:created xsi:type="dcterms:W3CDTF">2025-01-23T10:13:00Z</dcterms:created>
  <dcterms:modified xsi:type="dcterms:W3CDTF">2025-01-23T10:13:00Z</dcterms:modified>
</cp:coreProperties>
</file>