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sz w:val="26"/>
          <w:szCs w:val="26"/>
          <w:lang w:eastAsia="zh-CN"/>
        </w:rPr>
      </w:pPr>
      <w:r w:rsidRPr="00BD3C0A">
        <w:rPr>
          <w:rFonts w:ascii="Liberation Serif" w:eastAsia="Liberation Serif" w:hAnsi="Liberation Serif" w:cs="Liberation Serif"/>
          <w:b/>
          <w:sz w:val="26"/>
          <w:szCs w:val="26"/>
          <w:lang w:eastAsia="zh-CN"/>
        </w:rPr>
        <w:t>Информационное сообщение о проведении</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sz w:val="26"/>
          <w:szCs w:val="26"/>
          <w:lang w:eastAsia="zh-CN"/>
        </w:rPr>
      </w:pPr>
      <w:r w:rsidRPr="00BD3C0A">
        <w:rPr>
          <w:rFonts w:ascii="Liberation Serif" w:eastAsia="Liberation Serif" w:hAnsi="Liberation Serif" w:cs="Liberation Serif"/>
          <w:b/>
          <w:sz w:val="26"/>
          <w:szCs w:val="26"/>
          <w:lang w:eastAsia="zh-CN"/>
        </w:rPr>
        <w:t>продажи имущества посредством публичного предложения</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sz w:val="26"/>
          <w:szCs w:val="26"/>
          <w:lang w:eastAsia="zh-CN"/>
        </w:rPr>
      </w:pPr>
      <w:r w:rsidRPr="00BD3C0A">
        <w:rPr>
          <w:rFonts w:ascii="Liberation Serif" w:eastAsia="Liberation Serif" w:hAnsi="Liberation Serif" w:cs="Liberation Serif"/>
          <w:b/>
          <w:sz w:val="26"/>
          <w:szCs w:val="26"/>
          <w:lang w:eastAsia="zh-CN"/>
        </w:rPr>
        <w:t>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sz w:val="26"/>
          <w:szCs w:val="26"/>
          <w:lang w:eastAsia="zh-CN"/>
        </w:rPr>
      </w:pP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Общие положения.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 Основание проведения продажи имущества посредством публичного предложения в электронной форме – постановление администрации Грязовецкого муниципального округа Вологодской области от «</w:t>
      </w:r>
      <w:r w:rsidRPr="00BD3C0A">
        <w:rPr>
          <w:rFonts w:eastAsia="Liberation Serif" w:cs="Liberation Serif"/>
          <w:color w:val="000000"/>
          <w:sz w:val="26"/>
          <w:szCs w:val="26"/>
          <w:lang w:eastAsia="zh-CN"/>
        </w:rPr>
        <w:t>03</w:t>
      </w:r>
      <w:r w:rsidRPr="00BD3C0A">
        <w:rPr>
          <w:rFonts w:ascii="Liberation Serif" w:eastAsia="Liberation Serif" w:hAnsi="Liberation Serif" w:cs="Liberation Serif"/>
          <w:color w:val="000000"/>
          <w:sz w:val="26"/>
          <w:szCs w:val="26"/>
          <w:lang w:eastAsia="zh-CN"/>
        </w:rPr>
        <w:t>»</w:t>
      </w:r>
      <w:r w:rsidRPr="00BD3C0A">
        <w:rPr>
          <w:rFonts w:eastAsia="Liberation Serif" w:cs="Liberation Serif"/>
          <w:color w:val="000000"/>
          <w:sz w:val="26"/>
          <w:szCs w:val="26"/>
          <w:lang w:eastAsia="zh-CN"/>
        </w:rPr>
        <w:t xml:space="preserve"> апреля  2025 </w:t>
      </w:r>
      <w:r w:rsidRPr="00BD3C0A">
        <w:rPr>
          <w:rFonts w:ascii="Liberation Serif" w:eastAsia="Liberation Serif" w:hAnsi="Liberation Serif" w:cs="Liberation Serif"/>
          <w:color w:val="000000"/>
          <w:sz w:val="26"/>
          <w:szCs w:val="26"/>
          <w:lang w:eastAsia="zh-CN"/>
        </w:rPr>
        <w:t>№ 904 «Об условиях приватизации муниципального имущества Грязовецкого муниципального округа Вологодской области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2. Собственник выставляемого на продажу имущества – Грязовецкий муниципальный округ Вологодской области.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3. Продавец имущества на аукционе в электронной форме – Администрация Грязовецкого муниципального  округа Вологодской области, в лице отраслевого (функционального) органа администрации округа – Управление имущественных и земельных отношений администрации Грязовецкого муниципального округа Воло-годской области (далее - Продавец).</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4. Способ приватизации: продажа посредством публичного предложения.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5. Оператор электронной площадки, организующий продажу посредством публичного предложения в электронной форме (далее – Оператор электронной площадки) - АО «Единая электронная торговая площадка», адрес местонахождения: 115114, г. Москва, ул. Кожевническая, д. 14, стр. 5, тел. +8 (495) 276-16-26, официальный сайт www.roseltorg.ru.</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6. Начальная цена продажи составляет 116 000 (Сто шестнадцать тысяч) рублей (с учетом НДС), в том числе: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здание –  89 000 (Восемьдесят девять тысяч) рублей (с учетом НДС 14833,33 рублей);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земельный участок – 27 000 (Двадцать семь тысяч) рублей (НДС не облагается).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7. Размер задатка составляет 11 600 (одиннадцать тысяч шестьсот) рублей.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8. Форма подачи предложений о цене имущества – открытая форма подачи предложений о цене имущества 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9. Величина снижения цены («шаг понижения») составляет 11 600 (Одиннадцать тысяч шестьсот) рублей.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10.</w:t>
      </w:r>
      <w:r w:rsidRPr="00BD3C0A">
        <w:rPr>
          <w:rFonts w:ascii="Liberation Serif" w:eastAsia="Liberation Serif" w:hAnsi="Liberation Serif" w:cs="Liberation Serif"/>
          <w:color w:val="000000"/>
          <w:sz w:val="26"/>
          <w:szCs w:val="26"/>
          <w:lang w:eastAsia="zh-CN"/>
        </w:rPr>
        <w:tab/>
        <w:t>Величина повышения цены («шаг аукциона») составляет 5 800 (пять тысяч восемьсот) рублей.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11.</w:t>
      </w:r>
      <w:r w:rsidRPr="00BD3C0A">
        <w:rPr>
          <w:rFonts w:ascii="Liberation Serif" w:eastAsia="Liberation Serif" w:hAnsi="Liberation Serif" w:cs="Liberation Serif"/>
          <w:color w:val="000000"/>
          <w:sz w:val="26"/>
          <w:szCs w:val="26"/>
          <w:lang w:eastAsia="zh-CN"/>
        </w:rPr>
        <w:tab/>
        <w:t xml:space="preserve"> Минимальная цена предложения («цена отсечения») составляет 58 000 (Пятьдесят восемь тысяч) рублей.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12. Дата и время начала приёма заявок на участие в продаже оператору электронной площадки www.roseltorg.ru в сети интернет –04 апреля 2025 года в 11 часов 00 минут.</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13. Дата и время окончания приёма заявок на участие в продаже оператору электронной площадки  www.roseltorg.ru – 05 мая 2025 года в 17 часов 00 минут.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Время указанное в настоящем информационном сообщении - московское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14. Время приема заявок круглосуточно по адресу: www.roseltorg.ru.</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15. Дата признания претендентов участниками продажи имущества посредством публичного предложения – 08 мая 2025 года.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lastRenderedPageBreak/>
        <w:t>16. Контактный телефон: 8 (81755) 2-16-40.</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17. Дата, время и место проведения продажи имущества посредством публичного предложения в электронной форме – 13 мая 2025 года в 10 часов 00 минут по местному времени на электронной торговой площадке АО «Единая электронная торговая площадка» www.roseltorg.ru.</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18. Дата и место подведения итогов продажи имущества посредством публичного предложения в электронной форме – 13 мая 2025 года, www.roseltorg.ru.</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Сведения о выставляемом на продажу имуществе.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 Наименование имущества и его характеристика: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Нежилое здание – баня, 1- этажное, общая площадь 100,8 кв. м, кадастровый номер 35:28:0603032:272, расположенное по адресу: Вологодская область, Грязовецкий район, д. Вараксино, д. 74, вместе с земельным участком, кадастровый номер 35:28:0603032:185, категория земель: земли населенных пунктов, разрешенное использование: для размещения здания бани, общей площадью 220 кв. м, местонахождение: Вологодская область, Грязовецкий район, с/а Плосковская, д. Вараксино, д. 74,</w:t>
      </w:r>
    </w:p>
    <w:p w:rsidR="00BD3C0A" w:rsidRPr="00BD3C0A" w:rsidRDefault="00BD3C0A" w:rsidP="00BD3C0A">
      <w:pPr>
        <w:widowControl w:val="0"/>
        <w:autoSpaceDE w:val="0"/>
        <w:spacing w:after="0" w:line="240" w:lineRule="auto"/>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право собственности - правообладатель Грязовецкий муниципальный округ Вологодской области (далее - имущество).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Краткая характеристика: кирпичное одноэтажное здание.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Имущество не обременено правами третьих лиц, не является предметом залога, в споре и под арестом не состоит.</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Имущество находится в казне Грязовецкого муниципального округа Вологод-ской области.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Порядок ознакомления с иными сведениями: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С иной информацией об имуществе, условиями договора купли-продажи имеющейся в распоряжении Продавца, покупатели могут ознакомиться по телефону: (код 81755) 2-16-40 или по адресу: Вологодская обл., г. Грязовец, ул. Карла Маркса, д. 58, кабинет 22 (в рабочие дни с 08.00 до 17.00, перерыв на обед с 12.00 до 13.00), на официальном сайте Грязовецкого муниципального округа в сети интернет, а так же на официальном сайте Российской Федерации в сети «Интернет» </w:t>
      </w:r>
      <w:hyperlink r:id="rId6" w:history="1">
        <w:r w:rsidRPr="00BD3C0A">
          <w:rPr>
            <w:rFonts w:ascii="Liberation Serif" w:eastAsia="Liberation Serif" w:hAnsi="Liberation Serif" w:cs="Liberation Serif"/>
            <w:color w:val="0000FF" w:themeColor="hyperlink"/>
            <w:sz w:val="26"/>
            <w:szCs w:val="26"/>
            <w:u w:val="single"/>
            <w:lang w:eastAsia="zh-CN"/>
          </w:rPr>
          <w:t>www.torgi.gov.ru</w:t>
        </w:r>
      </w:hyperlink>
      <w:r w:rsidRPr="00BD3C0A">
        <w:rPr>
          <w:rFonts w:ascii="Liberation Serif" w:eastAsia="Liberation Serif" w:hAnsi="Liberation Serif" w:cs="Liberation Serif"/>
          <w:color w:val="000000"/>
          <w:sz w:val="26"/>
          <w:szCs w:val="26"/>
          <w:lang w:eastAsia="zh-CN"/>
        </w:rPr>
        <w:t>.</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Ранее торги в отношении имущества проводились:</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bCs/>
          <w:color w:val="000000"/>
          <w:sz w:val="26"/>
          <w:szCs w:val="26"/>
          <w:lang w:eastAsia="zh-CN"/>
        </w:rPr>
      </w:pPr>
      <w:r w:rsidRPr="00BD3C0A">
        <w:rPr>
          <w:rFonts w:ascii="Liberation Serif" w:eastAsia="Liberation Serif" w:hAnsi="Liberation Serif" w:cs="Liberation Serif"/>
          <w:bCs/>
          <w:color w:val="000000"/>
          <w:sz w:val="26"/>
          <w:szCs w:val="26"/>
          <w:lang w:eastAsia="zh-CN"/>
        </w:rPr>
        <w:t>21 марта 2025 г. -  аукцион,  не состоялся в связи с отсутствием заявок на участие.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Формы документов  для заполнения претендентами, прилагаются к настоящему информационному сообщению (Приложение).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Порядок ознакомления с иными сведениями: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lastRenderedPageBreak/>
        <w:t>С иной информацией об имуществе, условиями договора купли-продажи имею-щейся в распоряжении Продавца, покупатели могут ознакомиться по телефону: (код 81755) 2-16-40 или по адресу: Вологодская обл., г. Грязовец, ул. Карла Маркса, д. 58, кабинет 22 (в рабочие дни с 08.00 до 17.00, перерыв на обед с 12.00 до 13.00), на официальном сайте Грязовецкого муниципального округа в сети интернет, а так же на официальном сайте Российской Федерации в сети «Интернет» ГИС ТОРГИ http://NEW.TORGI.GOV.RU</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Условия участия в продаже посредством публичного</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предложения 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Для участия в</w:t>
      </w:r>
      <w:r w:rsidRPr="00BD3C0A">
        <w:rPr>
          <w:rFonts w:ascii="Times New Roman" w:eastAsia="Times New Roman" w:hAnsi="Times New Roman" w:cs="Times New Roman"/>
          <w:sz w:val="20"/>
          <w:szCs w:val="20"/>
          <w:lang w:eastAsia="ru-RU"/>
        </w:rPr>
        <w:t xml:space="preserve"> </w:t>
      </w:r>
      <w:r w:rsidRPr="00BD3C0A">
        <w:rPr>
          <w:rFonts w:ascii="Liberation Serif" w:eastAsia="Liberation Serif" w:hAnsi="Liberation Serif" w:cs="Liberation Serif"/>
          <w:color w:val="000000"/>
          <w:sz w:val="26"/>
          <w:szCs w:val="26"/>
          <w:lang w:eastAsia="zh-CN"/>
        </w:rPr>
        <w:t>продаже посредством публичного предложения (лично или через представителя) претендент обязан:</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внести задаток в указанном в настоящем информационном сообщении поряд-ке;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в установленном порядке подать заявку по форме, указанной в приложении к настоящему информационному сообщению.</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Для обеспечения доступа к подаче заявки и дальнейшей процедуре продаже посредством публичного предложения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Обязанность доказать свое право на участие в продаже посредством публичного предложения е в электронной форме возлагается на претендента.</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Ограничения участия отдельных категорий</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физических лиц и юридических лиц в приватизации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Покупателями государственного и муниципального имущества могут быть любые физические и юридические лица, за исключением: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государственных и муниципальных унитарных предприятий, государственных и муниципальных учреждений;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w:t>
      </w:r>
      <w:r w:rsidRPr="00BD3C0A">
        <w:rPr>
          <w:rFonts w:ascii="Liberation Serif" w:eastAsia="Liberation Serif" w:hAnsi="Liberation Serif" w:cs="Liberation Serif"/>
          <w:color w:val="000000"/>
          <w:sz w:val="26"/>
          <w:szCs w:val="26"/>
          <w:lang w:eastAsia="zh-CN"/>
        </w:rPr>
        <w:lastRenderedPageBreak/>
        <w:t>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Порядок регистрации претендентов на электронной площадке.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1. Для получения регистрации на электронной площадке претенденты пред-ставляют оператору электронной площадки: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заявление об их регистрации на электронной площадке по форме, установлен-ной оператором электронной площадки (далее - заявление);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Оператор электронной площадки не должен требовать от претендента документы и информацию, не предусмотренные настоящим пунктом.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2. В срок, не превышающий 3 рабочих дней со дня поступления заявления и информации, указанных в подпункте 6.1 настоящего пункта,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подпунктом 6.3 настоящего пункта, и не позднее 1 рабочего дня, следующего за днем регистрации (отказа в регистрации) претендента, направляет ему уведомление о принятом решении.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подпункте 6.1 настоящего пункта.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4. При принятии оператором электронной площадки решения об отказе в ре-гистрации претендента уведомление, предусмотренное подпунктом 6.2 настоящего пункта,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подпункте 6.1 настоящего пункта, для получения регистра-ции на электронной площадке.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Отказ в регистрации претендента на электронной площадке не допускается, за исключением случаев, указанных в подпункте 6.3 настоящего пункта.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в электронной форме без регистрации на такой электронной </w:t>
      </w:r>
      <w:r w:rsidRPr="00BD3C0A">
        <w:rPr>
          <w:rFonts w:ascii="Liberation Serif" w:eastAsia="Liberation Serif" w:hAnsi="Liberation Serif" w:cs="Liberation Serif"/>
          <w:color w:val="000000"/>
          <w:sz w:val="26"/>
          <w:szCs w:val="26"/>
          <w:lang w:eastAsia="zh-CN"/>
        </w:rPr>
        <w:lastRenderedPageBreak/>
        <w:t>площадке,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 Правительства Российской Федерации от 27 августа 2012 года № 860.</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Порядок, срок внесения задатка и его возврата.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Для внесения задатка на участие в продаже посредством публичного предложения в электронной форме Оператор электронной площадки при аккредитации участника продажи открывает ему специальный счет для проведения операций по обеспечению участия в электронных торгах. Одновременно с уведомлением об аккредитации на электронной площадке, Оператор электронной площадки направляет вновь аккредитованному участнику продажи реквизиты этого счета.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До момента подачи заявки на участие в  продаже посредством публичного предложения в электронной форме претендент должен обеспечить наличие денежных средств как минимум в размере задатка на участие в  продаже на своем открытом у Оператора электронной площадки счете для проведения операций по обеспечению участия в электронных торгах. Участие в  продаже посредством публичного предложения в электронной форме возможно лишь при наличии у участника продажи на данном счете денежных средств, в отношении которых не осуществлено блокирование операций по счету, в размере не менее чем размер задатка на участие в  в продаже посредством публичного предложения в электронной форме, предусмотренный информационным сообщением.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 а также указать назначение платежа: «участие в продаже посредством публичного предложения в отношении имущества Грязовецкого округа, расположенного по адресу: Вологодская область, Грязовецкий район, д. Вараксино, д. 74»  до 05 мая 2025 года до 17 часов 00 минут.</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продаже посредством публичного предложения  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продаже посредством публичного предложения в электронной форме не допускается.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Прекращение блокирования денежных средств на лицевом счете претендентов </w:t>
      </w:r>
      <w:r w:rsidRPr="00BD3C0A">
        <w:rPr>
          <w:rFonts w:ascii="Liberation Serif" w:eastAsia="Liberation Serif" w:hAnsi="Liberation Serif" w:cs="Liberation Serif"/>
          <w:color w:val="000000"/>
          <w:sz w:val="26"/>
          <w:szCs w:val="26"/>
          <w:lang w:eastAsia="zh-CN"/>
        </w:rPr>
        <w:lastRenderedPageBreak/>
        <w:t>(участников)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участникам, не признанным победителями, - в течение 5 (пяти) календарных дней со дня подведения итогов продажи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 xml:space="preserve"> Порядок подачи заявок на участие в продаже в электронной форме</w:t>
      </w:r>
    </w:p>
    <w:p w:rsidR="00BD3C0A" w:rsidRPr="00BD3C0A" w:rsidRDefault="00BD3C0A" w:rsidP="00BD3C0A">
      <w:pPr>
        <w:widowControl w:val="0"/>
        <w:autoSpaceDE w:val="0"/>
        <w:spacing w:after="0" w:line="240" w:lineRule="auto"/>
        <w:jc w:val="center"/>
        <w:rPr>
          <w:rFonts w:ascii="Liberation Serif" w:eastAsia="Liberation Serif" w:hAnsi="Liberation Serif" w:cs="Liberation Serif"/>
          <w:b/>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Подача заявки на участие в продаже посредством публичного предложения в электронной форме осуществляется претендентом из личного кабинета посредством штатного интерфейса.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b/>
          <w:color w:val="000000"/>
          <w:sz w:val="26"/>
          <w:szCs w:val="26"/>
          <w:lang w:eastAsia="zh-CN"/>
        </w:rPr>
        <w:t xml:space="preserve">Заявки подаются путем заполнения в открытой части электронной площадки форм, в соответствии с  Приложением  к настоящему информационному сообщению,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7" w:history="1">
        <w:r w:rsidRPr="00BD3C0A">
          <w:rPr>
            <w:rFonts w:ascii="Liberation Serif" w:eastAsia="Liberation Serif" w:hAnsi="Liberation Serif" w:cs="Liberation Serif"/>
            <w:color w:val="0000FF" w:themeColor="hyperlink"/>
            <w:sz w:val="26"/>
            <w:szCs w:val="26"/>
            <w:u w:val="single"/>
            <w:lang w:eastAsia="zh-CN"/>
          </w:rPr>
          <w:t>www.roseltorg.ru</w:t>
        </w:r>
      </w:hyperlink>
      <w:r w:rsidRPr="00BD3C0A">
        <w:rPr>
          <w:rFonts w:ascii="Liberation Serif" w:eastAsia="Liberation Serif" w:hAnsi="Liberation Serif" w:cs="Liberation Serif"/>
          <w:b/>
          <w:color w:val="000000"/>
          <w:sz w:val="26"/>
          <w:szCs w:val="26"/>
          <w:lang w:eastAsia="zh-CN"/>
        </w:rPr>
        <w:t>.</w:t>
      </w:r>
      <w:r w:rsidRPr="00BD3C0A">
        <w:rPr>
          <w:rFonts w:ascii="Liberation Serif" w:eastAsia="Liberation Serif" w:hAnsi="Liberation Serif" w:cs="Liberation Serif"/>
          <w:color w:val="000000"/>
          <w:sz w:val="26"/>
          <w:szCs w:val="26"/>
          <w:lang w:eastAsia="zh-CN"/>
        </w:rPr>
        <w:t xml:space="preserve">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Одно лицо имеет право подать только одну заявку.</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Заявки подаются, начиная с даты и времени начала приема заявок до даты и времени окончания приема заявок, указанных в настоящем информационном сообщении.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Заявки подаются и принимаются одновременно с полным комплектом требуемых для участия в</w:t>
      </w:r>
      <w:r w:rsidRPr="00BD3C0A">
        <w:rPr>
          <w:rFonts w:ascii="Times New Roman" w:eastAsia="Times New Roman" w:hAnsi="Times New Roman" w:cs="Times New Roman"/>
          <w:sz w:val="20"/>
          <w:szCs w:val="20"/>
          <w:lang w:eastAsia="ru-RU"/>
        </w:rPr>
        <w:t xml:space="preserve"> </w:t>
      </w:r>
      <w:r w:rsidRPr="00BD3C0A">
        <w:rPr>
          <w:rFonts w:ascii="Liberation Serif" w:eastAsia="Liberation Serif" w:hAnsi="Liberation Serif" w:cs="Liberation Serif"/>
          <w:color w:val="000000"/>
          <w:sz w:val="26"/>
          <w:szCs w:val="26"/>
          <w:lang w:eastAsia="zh-CN"/>
        </w:rPr>
        <w:t>продаже посредством публичного предложения в электронной форме документов.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Заявка и приложенные к ней документы должны быть подписаны электронной подписью Претендента (его уполномоченного представителя).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Заявки, поступившие по истечении срока их приема, Оператором электронной </w:t>
      </w:r>
      <w:r w:rsidRPr="00BD3C0A">
        <w:rPr>
          <w:rFonts w:ascii="Liberation Serif" w:eastAsia="Liberation Serif" w:hAnsi="Liberation Serif" w:cs="Liberation Serif"/>
          <w:color w:val="000000"/>
          <w:sz w:val="26"/>
          <w:szCs w:val="26"/>
          <w:lang w:eastAsia="zh-CN"/>
        </w:rPr>
        <w:lastRenderedPageBreak/>
        <w:t>площадки не принимаются и на электронной торговой площадке не регистрируются.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Подача заявки на участие в аукционе в электронной форме осуществляется претендентом из личного кабинета посредством штатного интерфейса.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Заявки подаются путем заполнения в открытой части электронной площадки форм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8" w:history="1">
        <w:r w:rsidRPr="00BD3C0A">
          <w:rPr>
            <w:rFonts w:ascii="Liberation Serif" w:eastAsia="Liberation Serif" w:hAnsi="Liberation Serif" w:cs="Liberation Serif"/>
            <w:color w:val="000000"/>
            <w:sz w:val="26"/>
            <w:szCs w:val="26"/>
            <w:lang w:eastAsia="zh-CN"/>
          </w:rPr>
          <w:t>www.roseltorg.ru</w:t>
        </w:r>
      </w:hyperlink>
      <w:r w:rsidRPr="00BD3C0A">
        <w:rPr>
          <w:rFonts w:ascii="Liberation Serif" w:eastAsia="Liberation Serif" w:hAnsi="Liberation Serif" w:cs="Liberation Serif"/>
          <w:color w:val="000000"/>
          <w:sz w:val="26"/>
          <w:szCs w:val="26"/>
          <w:lang w:eastAsia="zh-CN"/>
        </w:rPr>
        <w:t xml:space="preserve">.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Одно лицо имеет право подать только одну заявку.</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Заявки подаются, начиная с даты и времени начала приема заявок до даты и времени окончания приема заявок, указанных в настоящем информационном сообщении.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Заявки подаются и принимаются одновременно с полным комплектом требуемых для участия в аукционе в электронной форме документов.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Заявка и приложенные к ней документы должны быть подписаны электронной подписью Претендента (его уполномоченного представителя).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Время создания, получения и отправки электронных документов на электронной площадке, а также время проведения процедуры продажи государственного имущества соответствует местному времени, в котором функционирует электронная торговая площадка.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претеденту направляется соответствующее уведомление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Перечень требуемых документов для участия в продаже посредством</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публичного предложения и требования к их оформлению.</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Для участия в продаже посредством публичного предложения (лично или через своего представителя) одновременно с заявкой на участие в продаже посредством публичного предложения (Приложение ) претенденты представляют электронные образы следующих документов (документов на бумажном носителе, преобразованных в электронно цифровую форму путем сканирования с сохранением их реквизитов), заверенных электронной подписью:</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Юридические лица предоставляют:</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-электронные образы учредительных документов;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-электронный образ документа, содержащего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-электронный образ документа, подтверждающего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опись документов, входящих в состав заявки.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Физические лица предоставляют:</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электронный образ документа, удостоверяющего личность (все листы);</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электронный образ оформленной в установленном порядке или нотариально заверенной копии доверенности на осуществление действий от имени претендента (в случае, если от имени претендента действует его представитель);</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опись документов, входящих в состав заявки.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Не подлежат рассмотрению документы, исполненные карандашом, имеющие под-чистки, приписки, иные не оговоренные в них исправления.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Документооборот между претендентами, участниками аукциона, Оператором электронной площадки,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w:t>
      </w:r>
      <w:r w:rsidRPr="00BD3C0A">
        <w:rPr>
          <w:rFonts w:ascii="Liberation Serif" w:eastAsia="Liberation Serif" w:hAnsi="Liberation Serif" w:cs="Liberation Serif"/>
          <w:color w:val="000000"/>
          <w:sz w:val="26"/>
          <w:szCs w:val="26"/>
          <w:lang w:eastAsia="zh-CN"/>
        </w:rPr>
        <w:lastRenderedPageBreak/>
        <w:t>действовать от имени соответственно Продавца, претендента или участника.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признается равнозначным документу на бумажном носителе, подписанному собственноручной подписью и заверенному печатью.</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Определение участников продажи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указанный в настоящем информационном сообщении день определения участников продажи посредством публичного предложения в электронной форме Продавец рассматривает заявки и документы претендентов.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 результатам рассмотрения заявок и документов Продавец принимает решение о признании претендентов участниками продажи посредством публичного предложения 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Претендент не допускается к участию в продаже посредством публичного предложения в электронной форме по следующим основаниям: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w:t>
      </w:r>
      <w:r w:rsidRPr="00BD3C0A">
        <w:rPr>
          <w:rFonts w:ascii="Liberation Serif" w:eastAsia="Liberation Serif" w:hAnsi="Liberation Serif" w:cs="Liberation Serif"/>
          <w:color w:val="000000"/>
          <w:sz w:val="26"/>
          <w:szCs w:val="26"/>
          <w:lang w:eastAsia="zh-CN"/>
        </w:rPr>
        <w:tab/>
        <w:t>представленные документы не подтверждают право претендента быть покупателем в соответствии с законодательством Российской Федерации;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w:t>
      </w:r>
      <w:r w:rsidRPr="00BD3C0A">
        <w:rPr>
          <w:rFonts w:ascii="Liberation Serif" w:eastAsia="Liberation Serif" w:hAnsi="Liberation Serif" w:cs="Liberation Serif"/>
          <w:color w:val="000000"/>
          <w:sz w:val="26"/>
          <w:szCs w:val="26"/>
          <w:lang w:eastAsia="zh-CN"/>
        </w:rPr>
        <w:tab/>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w:t>
      </w:r>
      <w:r w:rsidRPr="00BD3C0A">
        <w:rPr>
          <w:rFonts w:ascii="Liberation Serif" w:eastAsia="Liberation Serif" w:hAnsi="Liberation Serif" w:cs="Liberation Serif"/>
          <w:color w:val="000000"/>
          <w:sz w:val="26"/>
          <w:szCs w:val="26"/>
          <w:lang w:eastAsia="zh-CN"/>
        </w:rPr>
        <w:tab/>
        <w:t>заявка подана лицом, не уполномоченным претендентом на осуществление таких действий;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w:t>
      </w:r>
      <w:r w:rsidRPr="00BD3C0A">
        <w:rPr>
          <w:rFonts w:ascii="Liberation Serif" w:eastAsia="Liberation Serif" w:hAnsi="Liberation Serif" w:cs="Liberation Serif"/>
          <w:color w:val="000000"/>
          <w:sz w:val="26"/>
          <w:szCs w:val="26"/>
          <w:lang w:eastAsia="zh-CN"/>
        </w:rPr>
        <w:tab/>
        <w:t>не подтверждено поступление в установленный срок задатка.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Настоящий перечень оснований отказа претенденту на участие в продаже по-средством публичного предложения в электронной форме является исчерпывающим.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Продавец по итогам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в электронной форме, с указанием оснований отказа.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Претендент, допущенный к участию в продаже посредством публичного предложения в электронной форме, приобретает статус участника продажи посредством публичного предложения в электронной форме с момента оформления Продавцом протокола о признании претендентов участниками продажи посредством публичного предложения 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lastRenderedPageBreak/>
        <w:t xml:space="preserve"> </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Порядок проведения продажи посредством публичного предложения в элек-тронной форме и определения победителей продажи посредством публичного предложения в электронной форме</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Процедура продажи посредством публичного предложения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понижения цены первоначального предложения на величину «шага понижения», но не ниже цены отсечения. «Шаг понижения» не изменяется в течение всей процедуры продажи посредством публичного предложения.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Во время проведения процедуры продажи посредством публичного предложения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Со времени начала проведения процедуры продажи посредством публичного предложения Оператором электронной площадки размещается: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а)</w:t>
      </w:r>
      <w:r w:rsidRPr="00BD3C0A">
        <w:rPr>
          <w:rFonts w:ascii="Liberation Serif" w:eastAsia="Liberation Serif" w:hAnsi="Liberation Serif" w:cs="Liberation Serif"/>
          <w:color w:val="000000"/>
          <w:sz w:val="26"/>
          <w:szCs w:val="26"/>
          <w:lang w:eastAsia="zh-CN"/>
        </w:rPr>
        <w:tab/>
        <w:t>в открытой части электронной площадки - информация о начале проведения процедуры продажи с указанием наименования,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б)</w:t>
      </w:r>
      <w:r w:rsidRPr="00BD3C0A">
        <w:rPr>
          <w:rFonts w:ascii="Liberation Serif" w:eastAsia="Liberation Serif" w:hAnsi="Liberation Serif" w:cs="Liberation Serif"/>
          <w:color w:val="000000"/>
          <w:sz w:val="26"/>
          <w:szCs w:val="26"/>
          <w:lang w:eastAsia="zh-CN"/>
        </w:rPr>
        <w:tab/>
        <w:t>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течение 1 (одного) часа от начала проведения процедуры продажи Оператор электронной площадки обеспечивает возможность каждому участнику продажи подтвердить цену первоначального предложения.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При отсутствии подтверждений цены первоначального предложения, сделанных участниками в течение 1 (одного) часа от начала процедуры продажи, Оператор электрон-ной площадки обеспечивает автоматическое снижение цены первоначального предложения на величину «шага понижения».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Оператор электронной площадки обеспечивает возможность каждому Участнику подтвердить цену, сложившуюся на соответствующем «шаге понижения», в течение 10 (десяти) минут. При отсутствии подтверждений цены, сложившейся на соответствующем «шаге понижения», сделанных участниками, Оператор электронной площадки обеспечивает автоматическое снижение цены на величину «шага понижения», но не ниже цены отсечения.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Победителем продажи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Оператор электронной площадки обеспечивает проведение аукциона (подачи </w:t>
      </w:r>
      <w:r w:rsidRPr="00BD3C0A">
        <w:rPr>
          <w:rFonts w:ascii="Liberation Serif" w:eastAsia="Liberation Serif" w:hAnsi="Liberation Serif" w:cs="Liberation Serif"/>
          <w:color w:val="000000"/>
          <w:sz w:val="26"/>
          <w:szCs w:val="26"/>
          <w:lang w:eastAsia="zh-CN"/>
        </w:rPr>
        <w:lastRenderedPageBreak/>
        <w:t>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понижения» с учетом следующих особенностей.</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Аукцион начинается после окончания периода, в котором было сделано более двух подтверждений о цене. Начальной ценой имущества устанавливается соответственно цена первоначального предложения или цена предложения, сложившаяся на данном «шаге понижения» (далее - начальная цена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Время приема предложений о цене имущества составляет 10 (десять) минут. «Шаг аукциона» не изменяется в течение всей процедуры продажи посредством публичного предложения. 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первым подтвердил начальную цену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случаях совершения участниками аукциона «шагов» на повышение, победителем признается участник, предложивший наиболее высокую цену государственного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Ход проведения процедуры продажи посредством публичного предложения в электронной форме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продажи посредством публичного предложения в электронной форме путем оформления протокола об итогах такой продажи.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Процедура продажи посредством публичного предложения в электронной форме считается завершенной со времени подписания Продавцом протокола об итогах такой продажи.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Протокол об итогах продажи посредством публичного предложения в электронной форме является документом, удостоверяющим право победителя на заключение договора купли-продажи муниципального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а)</w:t>
      </w:r>
      <w:r w:rsidRPr="00BD3C0A">
        <w:rPr>
          <w:rFonts w:ascii="Liberation Serif" w:eastAsia="Liberation Serif" w:hAnsi="Liberation Serif" w:cs="Liberation Serif"/>
          <w:color w:val="000000"/>
          <w:sz w:val="26"/>
          <w:szCs w:val="26"/>
          <w:lang w:eastAsia="zh-CN"/>
        </w:rPr>
        <w:tab/>
        <w:t>наименование имущества и иные позволяющие его индивидуализировать сведения (спецификация лота);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б)</w:t>
      </w:r>
      <w:r w:rsidRPr="00BD3C0A">
        <w:rPr>
          <w:rFonts w:ascii="Liberation Serif" w:eastAsia="Liberation Serif" w:hAnsi="Liberation Serif" w:cs="Liberation Serif"/>
          <w:color w:val="000000"/>
          <w:sz w:val="26"/>
          <w:szCs w:val="26"/>
          <w:lang w:eastAsia="zh-CN"/>
        </w:rPr>
        <w:tab/>
        <w:t>цена сделки;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w:t>
      </w:r>
      <w:r w:rsidRPr="00BD3C0A">
        <w:rPr>
          <w:rFonts w:ascii="Liberation Serif" w:eastAsia="Liberation Serif" w:hAnsi="Liberation Serif" w:cs="Liberation Serif"/>
          <w:color w:val="000000"/>
          <w:sz w:val="26"/>
          <w:szCs w:val="26"/>
          <w:lang w:eastAsia="zh-CN"/>
        </w:rPr>
        <w:tab/>
        <w:t>фамилия, имя, отчество физического лица или наименование юридического лица - победителя.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Продажа посредством публичного предложения в электронной форме признается не-состоявшейся в следующих случаях:</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а)</w:t>
      </w:r>
      <w:r w:rsidRPr="00BD3C0A">
        <w:rPr>
          <w:rFonts w:ascii="Liberation Serif" w:eastAsia="Liberation Serif" w:hAnsi="Liberation Serif" w:cs="Liberation Serif"/>
          <w:color w:val="000000"/>
          <w:sz w:val="26"/>
          <w:szCs w:val="26"/>
          <w:lang w:eastAsia="zh-CN"/>
        </w:rPr>
        <w:tab/>
        <w:t>не было подано ни одной заявки на участие либо ни один из претендентов не признан участником;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б)</w:t>
      </w:r>
      <w:r w:rsidRPr="00BD3C0A">
        <w:rPr>
          <w:rFonts w:ascii="Liberation Serif" w:eastAsia="Liberation Serif" w:hAnsi="Liberation Serif" w:cs="Liberation Serif"/>
          <w:color w:val="000000"/>
          <w:sz w:val="26"/>
          <w:szCs w:val="26"/>
          <w:lang w:eastAsia="zh-CN"/>
        </w:rPr>
        <w:tab/>
        <w:t>принято решение о признании только одного претендента участником;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w:t>
      </w:r>
      <w:r w:rsidRPr="00BD3C0A">
        <w:rPr>
          <w:rFonts w:ascii="Liberation Serif" w:eastAsia="Liberation Serif" w:hAnsi="Liberation Serif" w:cs="Liberation Serif"/>
          <w:color w:val="000000"/>
          <w:sz w:val="26"/>
          <w:szCs w:val="26"/>
          <w:lang w:eastAsia="zh-CN"/>
        </w:rPr>
        <w:tab/>
        <w:t>ни один из участников не сделал предложение о цене имущества при до-стижении минимальной цены продажи (цены отсечения)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Решение о признании продажи несостоявшейся оформляется протоколом об итогах продажи посредством публичного предложения.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lastRenderedPageBreak/>
        <w:t>Порядок заключения договора купли-продажи имущества по итогам</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продажи имущества посредством публичного предложения в электронной форме, условия и сроки платежа.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По результатам продажи имущества Продавец и победитель продажи имущества или лицо, признанное единственным участником по продаже посредством публичного предложения, (покупатель) не позднее 5 (Пяти) рабочих дней со дня  подведения итогов  продажи посредством публичного предложения заключают в соответствии с законодательством Российской Федерации договор купли-продажи.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При уклонении или отказе победителя продажи имущества или лица, признанного единственным участником продажи, от заключения в указанный срок договора купли-продажи, задаток ему не возвращается, а победитель  или единственный участник продажи имущества утрачивает право на заключение указанного договора купли-продажи. Результаты продажи аннулируются Продавцом.</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Оплата производится в безналичном порядке путем перечисления покупателем всей суммы, указанной в договоре купли-продажи, на следующие реквизиты: УФК по Вологодской области (Управление имущественных и земельных  отношений администрации Грязовецкого муниципального округа л/сч 04303</w:t>
      </w:r>
      <w:r w:rsidRPr="00BD3C0A">
        <w:rPr>
          <w:rFonts w:ascii="Liberation Serif" w:eastAsia="Liberation Serif" w:hAnsi="Liberation Serif" w:cs="Liberation Serif"/>
          <w:color w:val="000000"/>
          <w:sz w:val="26"/>
          <w:szCs w:val="26"/>
          <w:lang w:val="en-US" w:eastAsia="zh-CN"/>
        </w:rPr>
        <w:t>Q</w:t>
      </w:r>
      <w:r w:rsidRPr="00BD3C0A">
        <w:rPr>
          <w:rFonts w:ascii="Liberation Serif" w:eastAsia="Liberation Serif" w:hAnsi="Liberation Serif" w:cs="Liberation Serif"/>
          <w:color w:val="000000"/>
          <w:sz w:val="26"/>
          <w:szCs w:val="26"/>
          <w:lang w:eastAsia="zh-CN"/>
        </w:rPr>
        <w:t>40120) ИНН 3509013054 КПП 350901001 , расчетный счет № 03100643000000013000, Банк: Отделение Вологда Банка России//УФК по Вологодской области, г. Вологда, БИК 011909101, Единый казначейский счет 40102810445370000022, ОКТМО 19524000, КБК 26211402043141000410 (имущество), 26211406024141000430 (земля).</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 xml:space="preserve">Перечисление НДС производится покупателем (юридическим лицом или индивидуальным предпринимателем) самостоятельно в соответствии с налоговым законодательством.  </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color w:val="000000"/>
          <w:sz w:val="26"/>
          <w:szCs w:val="26"/>
          <w:lang w:eastAsia="zh-CN"/>
        </w:rPr>
        <w:t>В платежных документах в графе «Назначение платежа» необходимо указать: номер и дату договора купли-продажи, наименование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Оплата цены имущества производится не позднее тридцати календарных дней с момента подписания договора купли-продажи.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Задаток, перечисленный покупателем (победителем) для участия в продаже, засчитывается в счёт оплаты приобретаемого имущества.</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b/>
          <w:color w:val="000000"/>
          <w:sz w:val="26"/>
          <w:szCs w:val="26"/>
          <w:lang w:eastAsia="zh-CN"/>
        </w:rPr>
      </w:pPr>
      <w:r w:rsidRPr="00BD3C0A">
        <w:rPr>
          <w:rFonts w:ascii="Liberation Serif" w:eastAsia="Liberation Serif" w:hAnsi="Liberation Serif" w:cs="Liberation Serif"/>
          <w:b/>
          <w:color w:val="000000"/>
          <w:sz w:val="26"/>
          <w:szCs w:val="26"/>
          <w:lang w:eastAsia="zh-CN"/>
        </w:rPr>
        <w:t>Заключительные положения.</w:t>
      </w:r>
    </w:p>
    <w:p w:rsidR="00BD3C0A" w:rsidRPr="00BD3C0A" w:rsidRDefault="00BD3C0A" w:rsidP="00BD3C0A">
      <w:pPr>
        <w:widowControl w:val="0"/>
        <w:autoSpaceDE w:val="0"/>
        <w:spacing w:after="0" w:line="240" w:lineRule="auto"/>
        <w:ind w:firstLine="709"/>
        <w:jc w:val="center"/>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Все вопросы, касающиеся проведения продажи имущества, не нашедшие отражения в настоящем информационном сообщении, регулируются законодательством Российской Федерации.</w:t>
      </w: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left="5954"/>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Приложение № 1</w:t>
      </w:r>
    </w:p>
    <w:p w:rsidR="00BD3C0A" w:rsidRPr="00BD3C0A" w:rsidRDefault="00BD3C0A" w:rsidP="00BD3C0A">
      <w:pPr>
        <w:widowControl w:val="0"/>
        <w:autoSpaceDE w:val="0"/>
        <w:spacing w:after="0" w:line="240" w:lineRule="auto"/>
        <w:ind w:left="5954"/>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к информационному сообщению</w:t>
      </w:r>
    </w:p>
    <w:p w:rsidR="00BD3C0A" w:rsidRPr="00BD3C0A" w:rsidRDefault="00BD3C0A" w:rsidP="00BD3C0A">
      <w:pPr>
        <w:widowControl w:val="0"/>
        <w:autoSpaceDE w:val="0"/>
        <w:spacing w:after="0" w:line="240" w:lineRule="auto"/>
        <w:ind w:left="5954"/>
        <w:jc w:val="both"/>
        <w:rPr>
          <w:rFonts w:ascii="Liberation Serif" w:eastAsia="Liberation Serif" w:hAnsi="Liberation Serif" w:cs="Liberation Serif"/>
          <w:color w:val="000000"/>
          <w:sz w:val="26"/>
          <w:szCs w:val="26"/>
          <w:lang w:eastAsia="zh-CN"/>
        </w:rPr>
      </w:pPr>
      <w:r w:rsidRPr="00BD3C0A">
        <w:rPr>
          <w:rFonts w:ascii="Liberation Serif" w:eastAsia="Liberation Serif" w:hAnsi="Liberation Serif" w:cs="Liberation Serif"/>
          <w:color w:val="000000"/>
          <w:sz w:val="26"/>
          <w:szCs w:val="26"/>
          <w:lang w:eastAsia="zh-CN"/>
        </w:rPr>
        <w:t>(форма заявки)</w:t>
      </w:r>
    </w:p>
    <w:p w:rsidR="00BD3C0A" w:rsidRPr="00BD3C0A" w:rsidRDefault="00BD3C0A" w:rsidP="00BD3C0A">
      <w:pPr>
        <w:spacing w:after="0" w:line="360" w:lineRule="auto"/>
        <w:ind w:left="285"/>
        <w:jc w:val="center"/>
        <w:rPr>
          <w:rFonts w:ascii="Times New Roman" w:eastAsia="Times New Roman" w:hAnsi="Times New Roman" w:cs="Times New Roman"/>
          <w:b/>
          <w:sz w:val="26"/>
          <w:szCs w:val="26"/>
          <w:lang w:eastAsia="ru-RU"/>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keepNext/>
        <w:numPr>
          <w:ilvl w:val="1"/>
          <w:numId w:val="2"/>
        </w:numPr>
        <w:suppressAutoHyphens/>
        <w:spacing w:after="0" w:line="240" w:lineRule="auto"/>
        <w:jc w:val="center"/>
        <w:outlineLvl w:val="1"/>
        <w:rPr>
          <w:rFonts w:ascii="Times New Roman" w:eastAsia="Times New Roman" w:hAnsi="Times New Roman" w:cs="Times New Roman"/>
          <w:w w:val="90"/>
          <w:sz w:val="28"/>
          <w:szCs w:val="24"/>
          <w:lang w:eastAsia="zh-CN"/>
        </w:rPr>
      </w:pPr>
      <w:r w:rsidRPr="00BD3C0A">
        <w:rPr>
          <w:rFonts w:ascii="Times New Roman" w:eastAsia="Times New Roman" w:hAnsi="Times New Roman" w:cs="Times New Roman"/>
          <w:b/>
          <w:sz w:val="24"/>
          <w:szCs w:val="24"/>
          <w:lang w:eastAsia="zh-CN"/>
        </w:rPr>
        <w:t xml:space="preserve">Заявка на участие в продаже муниципального  имущества </w:t>
      </w:r>
    </w:p>
    <w:p w:rsidR="00BD3C0A" w:rsidRPr="00BD3C0A" w:rsidRDefault="00BD3C0A" w:rsidP="00BD3C0A">
      <w:pPr>
        <w:keepNext/>
        <w:numPr>
          <w:ilvl w:val="1"/>
          <w:numId w:val="2"/>
        </w:numPr>
        <w:suppressAutoHyphens/>
        <w:spacing w:after="0" w:line="240" w:lineRule="auto"/>
        <w:jc w:val="center"/>
        <w:outlineLvl w:val="1"/>
        <w:rPr>
          <w:rFonts w:ascii="Times New Roman" w:eastAsia="Times New Roman" w:hAnsi="Times New Roman" w:cs="Times New Roman"/>
          <w:w w:val="90"/>
          <w:sz w:val="28"/>
          <w:szCs w:val="24"/>
          <w:lang w:eastAsia="zh-CN"/>
        </w:rPr>
      </w:pPr>
      <w:r w:rsidRPr="00BD3C0A">
        <w:rPr>
          <w:rFonts w:ascii="Times New Roman" w:eastAsia="Times New Roman" w:hAnsi="Times New Roman" w:cs="Times New Roman"/>
          <w:b/>
          <w:sz w:val="24"/>
          <w:szCs w:val="24"/>
          <w:lang w:eastAsia="zh-CN"/>
        </w:rPr>
        <w:t>посредством публичного предложения в электронной форме</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b/>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jc w:val="both"/>
        <w:rPr>
          <w:rFonts w:ascii="Times New Roman" w:eastAsia="Times New Roman" w:hAnsi="Times New Roman" w:cs="Times New Roman"/>
          <w:sz w:val="24"/>
          <w:szCs w:val="24"/>
          <w:lang w:eastAsia="zh-CN"/>
        </w:rPr>
      </w:pP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(полное наименование юридического лица или Ф.И.О. физического лица, подающего заявку)</w:t>
      </w:r>
    </w:p>
    <w:p w:rsidR="00BD3C0A" w:rsidRPr="00BD3C0A" w:rsidRDefault="00BD3C0A" w:rsidP="00BD3C0A">
      <w:pPr>
        <w:numPr>
          <w:ilvl w:val="0"/>
          <w:numId w:val="1"/>
        </w:numPr>
        <w:tabs>
          <w:tab w:val="left" w:pos="165"/>
        </w:tabs>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Для физических лиц:</w:t>
      </w:r>
    </w:p>
    <w:p w:rsidR="00BD3C0A" w:rsidRPr="00BD3C0A" w:rsidRDefault="00BD3C0A" w:rsidP="00BD3C0A">
      <w:pPr>
        <w:numPr>
          <w:ilvl w:val="0"/>
          <w:numId w:val="1"/>
        </w:numPr>
        <w:tabs>
          <w:tab w:val="left" w:pos="165"/>
        </w:tabs>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Документ, удостоверяющий личность: ______________________серия__________________№ ________, выдан___________</w:t>
      </w:r>
    </w:p>
    <w:p w:rsidR="00BD3C0A" w:rsidRPr="00BD3C0A" w:rsidRDefault="00BD3C0A" w:rsidP="00BD3C0A">
      <w:pPr>
        <w:numPr>
          <w:ilvl w:val="0"/>
          <w:numId w:val="1"/>
        </w:numPr>
        <w:tabs>
          <w:tab w:val="left" w:pos="165"/>
        </w:tabs>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 «____» ______________ __________г.</w:t>
      </w:r>
    </w:p>
    <w:p w:rsidR="00BD3C0A" w:rsidRPr="00BD3C0A" w:rsidRDefault="00BD3C0A" w:rsidP="00BD3C0A">
      <w:pPr>
        <w:numPr>
          <w:ilvl w:val="0"/>
          <w:numId w:val="1"/>
        </w:numPr>
        <w:tabs>
          <w:tab w:val="left" w:pos="165"/>
        </w:tabs>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ИНН___________________________________________ </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Подачей настоящей заявки я подтверждаю свое согласие на обработку Продавцом моих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государственного и муниципального имущества». </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Для юридических лиц:</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Документ о госрегистрации в качестве юридического лица _____________________ серия _________________ № __________________________________________________________ </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дата регистрации «___»______________________г.</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орган, осуществивший регистрацию 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место выдачи 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ИНН __________________________КПП____________________________________________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sz w:val="24"/>
          <w:szCs w:val="24"/>
          <w:lang w:eastAsia="zh-CN"/>
        </w:rPr>
      </w:pP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Место жительства/место нахождения: 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телефон ____________________ факс 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индекс 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далее именуемый «Претендент», в лице 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(Ф.И.О.)</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действующего на основании 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заявляю о своем согласии принять участие в продаже посредством публичного предложения в электронной форме следующего муниципального имущества: 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lastRenderedPageBreak/>
        <w:t>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sz w:val="24"/>
          <w:szCs w:val="24"/>
          <w:lang w:eastAsia="zh-CN"/>
        </w:rPr>
      </w:pP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12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12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(указываются сведения, позволяющие идентифицировать муниципальное имущество, реализуемое в продаже посредством публичного предложения в электронной форме)</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12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продажи посредством публичного предложения в электронной форме, размещенном на официальном сайте Грязовецкого муниципального округа  Вологодской </w:t>
      </w:r>
      <w:r w:rsidRPr="00BD3C0A">
        <w:rPr>
          <w:rFonts w:ascii="Times New Roman" w:eastAsia="Times New Roman" w:hAnsi="Times New Roman" w:cs="Times New Roman"/>
          <w:sz w:val="24"/>
          <w:szCs w:val="24"/>
          <w:lang w:eastAsia="zh-CN"/>
        </w:rPr>
        <w:br/>
        <w:t xml:space="preserve">области, на </w:t>
      </w:r>
      <w:hyperlink r:id="rId9" w:history="1">
        <w:r w:rsidRPr="00BD3C0A">
          <w:rPr>
            <w:rFonts w:ascii="Times New Roman" w:eastAsia="Times New Roman" w:hAnsi="Times New Roman" w:cs="Times New Roman"/>
            <w:color w:val="0000FF"/>
            <w:sz w:val="24"/>
            <w:szCs w:val="24"/>
            <w:u w:val="single"/>
            <w:lang w:eastAsia="zh-CN"/>
          </w:rPr>
          <w:t>официальном сайте</w:t>
        </w:r>
      </w:hyperlink>
      <w:r w:rsidRPr="00BD3C0A">
        <w:rPr>
          <w:rFonts w:ascii="Times New Roman" w:eastAsia="Times New Roman" w:hAnsi="Times New Roman" w:cs="Times New Roman"/>
          <w:sz w:val="24"/>
          <w:szCs w:val="24"/>
          <w:lang w:eastAsia="zh-CN"/>
        </w:rPr>
        <w:t xml:space="preserve"> Российской Федерации в сети «Интернет» - </w:t>
      </w:r>
      <w:hyperlink r:id="rId10" w:history="1">
        <w:r w:rsidRPr="00BD3C0A">
          <w:rPr>
            <w:rFonts w:ascii="Times New Roman" w:eastAsia="Times New Roman" w:hAnsi="Times New Roman" w:cs="Times New Roman"/>
            <w:color w:val="0000FF"/>
            <w:sz w:val="24"/>
            <w:szCs w:val="24"/>
            <w:u w:val="single"/>
            <w:lang w:eastAsia="zh-CN"/>
          </w:rPr>
          <w:t>www.torgi.gov.ru</w:t>
        </w:r>
      </w:hyperlink>
      <w:r w:rsidRPr="00BD3C0A">
        <w:rPr>
          <w:rFonts w:ascii="Times New Roman" w:eastAsia="Times New Roman" w:hAnsi="Times New Roman" w:cs="Times New Roman"/>
          <w:sz w:val="24"/>
          <w:szCs w:val="24"/>
          <w:lang w:eastAsia="zh-CN"/>
        </w:rPr>
        <w:t xml:space="preserve"> (далее – сообщение).</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ab/>
        <w:t>Обязуюсь:</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 </w:t>
      </w:r>
      <w:r w:rsidRPr="00BD3C0A">
        <w:rPr>
          <w:rFonts w:ascii="Times New Roman" w:eastAsia="Times New Roman" w:hAnsi="Times New Roman" w:cs="Times New Roman"/>
          <w:sz w:val="24"/>
          <w:szCs w:val="24"/>
          <w:lang w:eastAsia="zh-CN"/>
        </w:rPr>
        <w:tab/>
        <w:t>1. Соблюдать условия продажи посредством публичного предложения в электронной форме, содержащиеся в сообщении, порядок проведения продажи посредством публичного предложения в электронной форме, предусмотренный действующим законодательством, а также условия настоящей заявки.</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ab/>
        <w:t>2. В случае признания победителем  продажи посредством публичного предложения в электронной форме, заключить договор купли-продажи в сроки, указанные в сообщении.</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ab/>
        <w:t>3. В случае заключения договора купли-продажи, оплатить стоимость  имущества, в размере и в сроки, указанные в договоре купли-продажи.</w:t>
      </w:r>
    </w:p>
    <w:p w:rsidR="00BD3C0A" w:rsidRPr="00BD3C0A" w:rsidRDefault="00BD3C0A" w:rsidP="00BD3C0A">
      <w:pPr>
        <w:numPr>
          <w:ilvl w:val="0"/>
          <w:numId w:val="1"/>
        </w:numPr>
        <w:pBdr>
          <w:top w:val="single" w:sz="4" w:space="3" w:color="000000"/>
          <w:left w:val="none" w:sz="0" w:space="0" w:color="000000"/>
          <w:bottom w:val="none" w:sz="0" w:space="0" w:color="000000"/>
          <w:right w:val="none" w:sz="0" w:space="0" w:color="000000"/>
        </w:pBd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Платежные реквизиты Претендента, на которые следует перечислить подлежащую возврату сумму задатка:_________________________________________________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w:t>
      </w:r>
    </w:p>
    <w:p w:rsidR="00BD3C0A" w:rsidRPr="00BD3C0A" w:rsidRDefault="00BD3C0A" w:rsidP="00BD3C0A">
      <w:pPr>
        <w:numPr>
          <w:ilvl w:val="0"/>
          <w:numId w:val="1"/>
        </w:numPr>
        <w:tabs>
          <w:tab w:val="left" w:pos="165"/>
        </w:tabs>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Почтовый адрес и контактный телефон Претендента: _________________________</w:t>
      </w:r>
    </w:p>
    <w:p w:rsidR="00BD3C0A" w:rsidRPr="00BD3C0A" w:rsidRDefault="00BD3C0A" w:rsidP="00BD3C0A">
      <w:pPr>
        <w:numPr>
          <w:ilvl w:val="0"/>
          <w:numId w:val="1"/>
        </w:numPr>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w:t>
      </w:r>
    </w:p>
    <w:p w:rsidR="00BD3C0A" w:rsidRPr="00BD3C0A" w:rsidRDefault="00BD3C0A" w:rsidP="00BD3C0A">
      <w:pPr>
        <w:numPr>
          <w:ilvl w:val="0"/>
          <w:numId w:val="1"/>
        </w:numPr>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w:t>
      </w:r>
    </w:p>
    <w:p w:rsidR="00BD3C0A" w:rsidRPr="00BD3C0A" w:rsidRDefault="00BD3C0A" w:rsidP="00BD3C0A">
      <w:pPr>
        <w:numPr>
          <w:ilvl w:val="0"/>
          <w:numId w:val="1"/>
        </w:numPr>
        <w:suppressAutoHyphens/>
        <w:spacing w:after="0" w:line="240" w:lineRule="auto"/>
        <w:jc w:val="both"/>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_________________________________________________________________________</w:t>
      </w:r>
    </w:p>
    <w:p w:rsidR="00BD3C0A" w:rsidRPr="00BD3C0A" w:rsidRDefault="00BD3C0A" w:rsidP="00BD3C0A">
      <w:pPr>
        <w:numPr>
          <w:ilvl w:val="0"/>
          <w:numId w:val="1"/>
        </w:numPr>
        <w:tabs>
          <w:tab w:val="left" w:pos="9015"/>
        </w:tabs>
        <w:suppressAutoHyphens/>
        <w:spacing w:after="0" w:line="240" w:lineRule="auto"/>
        <w:rPr>
          <w:rFonts w:ascii="Times New Roman" w:eastAsia="Times New Roman" w:hAnsi="Times New Roman" w:cs="Times New Roman"/>
          <w:sz w:val="24"/>
          <w:szCs w:val="24"/>
          <w:lang w:eastAsia="zh-CN"/>
        </w:rPr>
      </w:pPr>
    </w:p>
    <w:tbl>
      <w:tblPr>
        <w:tblW w:w="0" w:type="auto"/>
        <w:tblLayout w:type="fixed"/>
        <w:tblCellMar>
          <w:left w:w="28" w:type="dxa"/>
          <w:right w:w="28" w:type="dxa"/>
        </w:tblCellMar>
        <w:tblLook w:val="0000" w:firstRow="0" w:lastRow="0" w:firstColumn="0" w:lastColumn="0" w:noHBand="0" w:noVBand="0"/>
      </w:tblPr>
      <w:tblGrid>
        <w:gridCol w:w="4281"/>
        <w:gridCol w:w="2693"/>
        <w:gridCol w:w="2126"/>
        <w:gridCol w:w="595"/>
        <w:gridCol w:w="200"/>
        <w:gridCol w:w="2921"/>
      </w:tblGrid>
      <w:tr w:rsidR="00BD3C0A" w:rsidRPr="00BD3C0A" w:rsidTr="008F2AE8">
        <w:trPr>
          <w:cantSplit/>
        </w:trPr>
        <w:tc>
          <w:tcPr>
            <w:tcW w:w="4281" w:type="dxa"/>
            <w:shd w:val="clear" w:color="auto" w:fill="auto"/>
            <w:vAlign w:val="bottom"/>
          </w:tcPr>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Подпись Претендента </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(его полномочного представителя)</w:t>
            </w:r>
          </w:p>
        </w:tc>
        <w:tc>
          <w:tcPr>
            <w:tcW w:w="2693" w:type="dxa"/>
            <w:shd w:val="clear" w:color="auto" w:fill="auto"/>
            <w:vAlign w:val="bottom"/>
          </w:tcPr>
          <w:p w:rsidR="00BD3C0A" w:rsidRPr="00BD3C0A" w:rsidRDefault="00BD3C0A" w:rsidP="00BD3C0A">
            <w:pPr>
              <w:numPr>
                <w:ilvl w:val="0"/>
                <w:numId w:val="1"/>
              </w:numPr>
              <w:suppressAutoHyphens/>
              <w:spacing w:after="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w:t>
            </w:r>
          </w:p>
        </w:tc>
        <w:tc>
          <w:tcPr>
            <w:tcW w:w="2126" w:type="dxa"/>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w:t>
            </w:r>
          </w:p>
        </w:tc>
        <w:tc>
          <w:tcPr>
            <w:tcW w:w="795" w:type="dxa"/>
            <w:gridSpan w:val="2"/>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c>
          <w:tcPr>
            <w:tcW w:w="2921" w:type="dxa"/>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r>
      <w:tr w:rsidR="00BD3C0A" w:rsidRPr="00BD3C0A" w:rsidTr="008F2AE8">
        <w:tblPrEx>
          <w:tblCellMar>
            <w:left w:w="0" w:type="dxa"/>
            <w:right w:w="0" w:type="dxa"/>
          </w:tblCellMar>
        </w:tblPrEx>
        <w:trPr>
          <w:cantSplit/>
          <w:trHeight w:val="301"/>
        </w:trPr>
        <w:tc>
          <w:tcPr>
            <w:tcW w:w="4281" w:type="dxa"/>
            <w:shd w:val="clear" w:color="auto" w:fill="auto"/>
            <w:vAlign w:val="bottom"/>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Дата  ____ ____________ 20____ г.</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                                                             </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tc>
        <w:tc>
          <w:tcPr>
            <w:tcW w:w="2693" w:type="dxa"/>
            <w:shd w:val="clear" w:color="auto" w:fill="auto"/>
            <w:vAlign w:val="bottom"/>
          </w:tcPr>
          <w:p w:rsidR="00BD3C0A" w:rsidRPr="00BD3C0A" w:rsidRDefault="00BD3C0A" w:rsidP="00BD3C0A">
            <w:pPr>
              <w:numPr>
                <w:ilvl w:val="0"/>
                <w:numId w:val="1"/>
              </w:numPr>
              <w:suppressAutoHyphens/>
              <w:spacing w:after="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МП</w:t>
            </w:r>
          </w:p>
        </w:tc>
        <w:tc>
          <w:tcPr>
            <w:tcW w:w="2126" w:type="dxa"/>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tc>
        <w:tc>
          <w:tcPr>
            <w:tcW w:w="595" w:type="dxa"/>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tc>
        <w:tc>
          <w:tcPr>
            <w:tcW w:w="3121" w:type="dxa"/>
            <w:gridSpan w:val="2"/>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sz w:val="24"/>
                <w:szCs w:val="24"/>
                <w:lang w:eastAsia="zh-CN"/>
              </w:rPr>
            </w:pPr>
          </w:p>
        </w:tc>
      </w:tr>
    </w:tbl>
    <w:p w:rsidR="00BD3C0A" w:rsidRPr="00BD3C0A" w:rsidRDefault="00BD3C0A" w:rsidP="00BD3C0A">
      <w:pPr>
        <w:numPr>
          <w:ilvl w:val="0"/>
          <w:numId w:val="1"/>
        </w:numPr>
        <w:tabs>
          <w:tab w:val="left" w:pos="0"/>
          <w:tab w:val="left" w:pos="1134"/>
        </w:tabs>
        <w:suppressAutoHyphens/>
        <w:spacing w:after="0" w:line="240" w:lineRule="auto"/>
        <w:ind w:firstLine="680"/>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6675"/>
        </w:tabs>
        <w:spacing w:after="0" w:line="240" w:lineRule="auto"/>
        <w:contextualSpacing/>
        <w:jc w:val="both"/>
        <w:rPr>
          <w:rFonts w:ascii="Times New Roman" w:eastAsia="Times New Roman" w:hAnsi="Times New Roman" w:cs="Times New Roman"/>
          <w:sz w:val="24"/>
          <w:szCs w:val="24"/>
          <w:lang w:eastAsia="ru-RU"/>
        </w:rPr>
      </w:pPr>
      <w:r w:rsidRPr="00BD3C0A">
        <w:rPr>
          <w:rFonts w:ascii="Times New Roman" w:eastAsia="Times New Roman" w:hAnsi="Times New Roman" w:cs="Times New Roman"/>
          <w:sz w:val="24"/>
          <w:szCs w:val="24"/>
          <w:lang w:eastAsia="ru-RU"/>
        </w:rPr>
        <w:tab/>
      </w:r>
    </w:p>
    <w:p w:rsidR="00BD3C0A" w:rsidRPr="00BD3C0A" w:rsidRDefault="00BD3C0A" w:rsidP="00BD3C0A">
      <w:pPr>
        <w:tabs>
          <w:tab w:val="left" w:pos="1134"/>
        </w:tabs>
        <w:spacing w:after="0" w:line="240" w:lineRule="auto"/>
        <w:contextualSpacing/>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right"/>
        <w:rPr>
          <w:rFonts w:ascii="Times New Roman" w:eastAsia="Times New Roman" w:hAnsi="Times New Roman" w:cs="Times New Roman"/>
          <w:sz w:val="24"/>
          <w:szCs w:val="24"/>
          <w:lang w:eastAsia="ru-RU"/>
        </w:rPr>
      </w:pPr>
    </w:p>
    <w:p w:rsidR="00BD3C0A" w:rsidRPr="00BD3C0A" w:rsidRDefault="00BD3C0A" w:rsidP="00BD3C0A">
      <w:pPr>
        <w:tabs>
          <w:tab w:val="left" w:pos="5655"/>
        </w:tabs>
        <w:spacing w:after="0" w:line="240" w:lineRule="auto"/>
        <w:ind w:left="5954"/>
        <w:rPr>
          <w:rFonts w:ascii="Liberation Serif" w:eastAsia="Times New Roman" w:hAnsi="Liberation Serif" w:cs="Liberation Serif"/>
          <w:sz w:val="26"/>
          <w:szCs w:val="26"/>
          <w:lang w:eastAsia="ru-RU"/>
        </w:rPr>
      </w:pPr>
      <w:r w:rsidRPr="00BD3C0A">
        <w:rPr>
          <w:rFonts w:ascii="Liberation Serif" w:eastAsia="Times New Roman" w:hAnsi="Liberation Serif" w:cs="Liberation Serif"/>
          <w:sz w:val="26"/>
          <w:szCs w:val="26"/>
          <w:lang w:eastAsia="ru-RU"/>
        </w:rPr>
        <w:t>Приложение № 2</w:t>
      </w:r>
    </w:p>
    <w:p w:rsidR="00BD3C0A" w:rsidRPr="00BD3C0A" w:rsidRDefault="00BD3C0A" w:rsidP="00BD3C0A">
      <w:pPr>
        <w:spacing w:after="0" w:line="240" w:lineRule="auto"/>
        <w:ind w:left="5954"/>
        <w:rPr>
          <w:rFonts w:ascii="Liberation Serif" w:eastAsia="Times New Roman" w:hAnsi="Liberation Serif" w:cs="Liberation Serif"/>
          <w:sz w:val="26"/>
          <w:szCs w:val="26"/>
          <w:lang w:eastAsia="ru-RU"/>
        </w:rPr>
      </w:pPr>
      <w:r w:rsidRPr="00BD3C0A">
        <w:rPr>
          <w:rFonts w:ascii="Liberation Serif" w:eastAsia="Times New Roman" w:hAnsi="Liberation Serif" w:cs="Liberation Serif"/>
          <w:sz w:val="26"/>
          <w:szCs w:val="26"/>
          <w:lang w:eastAsia="ru-RU"/>
        </w:rPr>
        <w:t>к информационному сообщению</w:t>
      </w:r>
    </w:p>
    <w:p w:rsidR="00BD3C0A" w:rsidRPr="00BD3C0A" w:rsidRDefault="00BD3C0A" w:rsidP="00BD3C0A">
      <w:pPr>
        <w:tabs>
          <w:tab w:val="left" w:pos="5655"/>
        </w:tabs>
        <w:spacing w:after="0" w:line="240" w:lineRule="auto"/>
        <w:ind w:left="5954"/>
        <w:jc w:val="center"/>
        <w:rPr>
          <w:rFonts w:ascii="Liberation Serif" w:eastAsia="Times New Roman" w:hAnsi="Liberation Serif" w:cs="Liberation Serif"/>
          <w:sz w:val="10"/>
          <w:szCs w:val="10"/>
          <w:lang w:eastAsia="ru-RU"/>
        </w:rPr>
      </w:pPr>
    </w:p>
    <w:p w:rsidR="00BD3C0A" w:rsidRPr="00BD3C0A" w:rsidRDefault="00BD3C0A" w:rsidP="00BD3C0A">
      <w:pPr>
        <w:spacing w:after="0" w:line="240" w:lineRule="auto"/>
        <w:ind w:left="5954"/>
        <w:rPr>
          <w:rFonts w:ascii="Liberation Serif" w:eastAsia="Times New Roman" w:hAnsi="Liberation Serif" w:cs="Liberation Serif"/>
          <w:b/>
          <w:sz w:val="26"/>
          <w:szCs w:val="26"/>
          <w:lang w:eastAsia="ru-RU"/>
        </w:rPr>
      </w:pPr>
      <w:r w:rsidRPr="00BD3C0A">
        <w:rPr>
          <w:rFonts w:ascii="Liberation Serif" w:eastAsia="Times New Roman" w:hAnsi="Liberation Serif" w:cs="Liberation Serif"/>
          <w:sz w:val="26"/>
          <w:szCs w:val="26"/>
          <w:lang w:eastAsia="ru-RU"/>
        </w:rPr>
        <w:t>Форма описи документов</w:t>
      </w:r>
    </w:p>
    <w:p w:rsidR="00BD3C0A" w:rsidRPr="00BD3C0A" w:rsidRDefault="00BD3C0A" w:rsidP="00BD3C0A">
      <w:pPr>
        <w:tabs>
          <w:tab w:val="left" w:pos="1134"/>
        </w:tabs>
        <w:spacing w:after="0" w:line="240" w:lineRule="auto"/>
        <w:contextualSpacing/>
        <w:jc w:val="right"/>
        <w:rPr>
          <w:rFonts w:ascii="Times New Roman" w:eastAsia="Times New Roman" w:hAnsi="Times New Roman" w:cs="Times New Roman"/>
          <w:w w:val="90"/>
          <w:sz w:val="24"/>
          <w:szCs w:val="24"/>
          <w:lang w:eastAsia="zh-CN"/>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tabs>
          <w:tab w:val="left" w:pos="1134"/>
        </w:tabs>
        <w:spacing w:after="0" w:line="240" w:lineRule="auto"/>
        <w:contextualSpacing/>
        <w:jc w:val="both"/>
        <w:rPr>
          <w:rFonts w:ascii="Times New Roman" w:eastAsia="Times New Roman" w:hAnsi="Times New Roman" w:cs="Times New Roman"/>
          <w:sz w:val="24"/>
          <w:szCs w:val="24"/>
          <w:lang w:eastAsia="ru-RU"/>
        </w:rPr>
      </w:pPr>
    </w:p>
    <w:p w:rsidR="00BD3C0A" w:rsidRPr="00BD3C0A" w:rsidRDefault="00BD3C0A" w:rsidP="00BD3C0A">
      <w:pPr>
        <w:numPr>
          <w:ilvl w:val="0"/>
          <w:numId w:val="1"/>
        </w:numPr>
        <w:tabs>
          <w:tab w:val="left" w:pos="0"/>
          <w:tab w:val="left" w:pos="1134"/>
        </w:tabs>
        <w:suppressAutoHyphens/>
        <w:spacing w:after="0" w:line="240" w:lineRule="auto"/>
        <w:ind w:firstLine="680"/>
        <w:contextualSpacing/>
        <w:jc w:val="right"/>
        <w:rPr>
          <w:rFonts w:ascii="Times New Roman" w:eastAsia="Times New Roman" w:hAnsi="Times New Roman" w:cs="Times New Roman"/>
          <w:sz w:val="24"/>
          <w:szCs w:val="24"/>
          <w:lang w:eastAsia="ru-RU"/>
        </w:rPr>
      </w:pPr>
    </w:p>
    <w:p w:rsidR="00BD3C0A" w:rsidRPr="00BD3C0A" w:rsidRDefault="00BD3C0A" w:rsidP="00BD3C0A">
      <w:pPr>
        <w:numPr>
          <w:ilvl w:val="0"/>
          <w:numId w:val="1"/>
        </w:numPr>
        <w:suppressAutoHyphens/>
        <w:spacing w:after="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b/>
          <w:sz w:val="24"/>
          <w:szCs w:val="24"/>
          <w:lang w:eastAsia="zh-CN"/>
        </w:rPr>
        <w:t>ОПИСЬ ДОКУМЕНТОВ,</w:t>
      </w:r>
    </w:p>
    <w:p w:rsidR="00BD3C0A" w:rsidRPr="00BD3C0A" w:rsidRDefault="00BD3C0A" w:rsidP="00BD3C0A">
      <w:pPr>
        <w:numPr>
          <w:ilvl w:val="0"/>
          <w:numId w:val="1"/>
        </w:numPr>
        <w:suppressAutoHyphens/>
        <w:spacing w:after="0" w:line="240" w:lineRule="auto"/>
        <w:jc w:val="center"/>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b/>
          <w:sz w:val="24"/>
          <w:szCs w:val="24"/>
          <w:lang w:eastAsia="zh-CN"/>
        </w:rPr>
        <w:t>представляемых для участия в продаже муниципального  имущества посредством публичного предложения в электронной форме</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b/>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b/>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Настоящим______________________________________________________________                         </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i/>
          <w:sz w:val="24"/>
          <w:szCs w:val="24"/>
          <w:vertAlign w:val="subscript"/>
          <w:lang w:eastAsia="zh-CN"/>
        </w:rPr>
        <w:t xml:space="preserve">                                             (полное наименование юридического лица или Ф.И.О. физического лица, подающего заявку)</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xml:space="preserve"> в лице____________________________________________________, действующего(ей) на основании ________________________________________________________подтверждает,</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что для участия в  продаже посредством публичного предложения в электронной форме представляются нижеперечисленные документы.</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sz w:val="24"/>
          <w:szCs w:val="24"/>
          <w:lang w:eastAsia="zh-CN"/>
        </w:rPr>
      </w:pPr>
    </w:p>
    <w:tbl>
      <w:tblPr>
        <w:tblW w:w="0" w:type="auto"/>
        <w:tblInd w:w="61" w:type="dxa"/>
        <w:tblLayout w:type="fixed"/>
        <w:tblCellMar>
          <w:left w:w="70" w:type="dxa"/>
          <w:right w:w="70" w:type="dxa"/>
        </w:tblCellMar>
        <w:tblLook w:val="0000" w:firstRow="0" w:lastRow="0" w:firstColumn="0" w:lastColumn="0" w:noHBand="0" w:noVBand="0"/>
      </w:tblPr>
      <w:tblGrid>
        <w:gridCol w:w="912"/>
        <w:gridCol w:w="6156"/>
        <w:gridCol w:w="2498"/>
      </w:tblGrid>
      <w:tr w:rsidR="00BD3C0A" w:rsidRPr="00BD3C0A" w:rsidTr="008F2AE8">
        <w:trPr>
          <w:cantSplit/>
          <w:trHeight w:val="653"/>
        </w:trPr>
        <w:tc>
          <w:tcPr>
            <w:tcW w:w="912" w:type="dxa"/>
            <w:tcBorders>
              <w:top w:val="single" w:sz="6" w:space="0" w:color="000000"/>
              <w:left w:val="single" w:sz="6" w:space="0" w:color="000000"/>
              <w:bottom w:val="single" w:sz="6" w:space="0" w:color="000000"/>
            </w:tcBorders>
            <w:shd w:val="clear" w:color="auto" w:fill="auto"/>
            <w:vAlign w:val="center"/>
          </w:tcPr>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  п/п</w:t>
            </w:r>
          </w:p>
        </w:tc>
        <w:tc>
          <w:tcPr>
            <w:tcW w:w="6156" w:type="dxa"/>
            <w:tcBorders>
              <w:top w:val="single" w:sz="6" w:space="0" w:color="000000"/>
              <w:left w:val="single" w:sz="6" w:space="0" w:color="000000"/>
              <w:bottom w:val="single" w:sz="6" w:space="0" w:color="000000"/>
            </w:tcBorders>
            <w:shd w:val="clear" w:color="auto" w:fill="auto"/>
            <w:vAlign w:val="center"/>
          </w:tcPr>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Наименование</w:t>
            </w:r>
          </w:p>
        </w:tc>
        <w:tc>
          <w:tcPr>
            <w:tcW w:w="24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Количество листов</w:t>
            </w:r>
          </w:p>
        </w:tc>
      </w:tr>
      <w:tr w:rsidR="00BD3C0A" w:rsidRPr="00BD3C0A" w:rsidTr="008F2AE8">
        <w:trPr>
          <w:cantSplit/>
          <w:trHeight w:val="487"/>
        </w:trPr>
        <w:tc>
          <w:tcPr>
            <w:tcW w:w="912" w:type="dxa"/>
            <w:tcBorders>
              <w:top w:val="single" w:sz="6" w:space="0" w:color="000000"/>
              <w:left w:val="single" w:sz="6" w:space="0" w:color="000000"/>
              <w:bottom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c>
          <w:tcPr>
            <w:tcW w:w="6156" w:type="dxa"/>
            <w:tcBorders>
              <w:top w:val="single" w:sz="6" w:space="0" w:color="000000"/>
              <w:left w:val="single" w:sz="6" w:space="0" w:color="000000"/>
              <w:bottom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c>
          <w:tcPr>
            <w:tcW w:w="2498" w:type="dxa"/>
            <w:tcBorders>
              <w:top w:val="single" w:sz="6" w:space="0" w:color="000000"/>
              <w:left w:val="single" w:sz="6" w:space="0" w:color="000000"/>
              <w:bottom w:val="single" w:sz="6" w:space="0" w:color="000000"/>
              <w:right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r>
      <w:tr w:rsidR="00BD3C0A" w:rsidRPr="00BD3C0A" w:rsidTr="008F2AE8">
        <w:trPr>
          <w:cantSplit/>
          <w:trHeight w:val="480"/>
        </w:trPr>
        <w:tc>
          <w:tcPr>
            <w:tcW w:w="912" w:type="dxa"/>
            <w:tcBorders>
              <w:top w:val="single" w:sz="6" w:space="0" w:color="000000"/>
              <w:left w:val="single" w:sz="6" w:space="0" w:color="000000"/>
              <w:bottom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c>
          <w:tcPr>
            <w:tcW w:w="6156" w:type="dxa"/>
            <w:tcBorders>
              <w:top w:val="single" w:sz="6" w:space="0" w:color="000000"/>
              <w:left w:val="single" w:sz="6" w:space="0" w:color="000000"/>
              <w:bottom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c>
          <w:tcPr>
            <w:tcW w:w="2498" w:type="dxa"/>
            <w:tcBorders>
              <w:top w:val="single" w:sz="6" w:space="0" w:color="000000"/>
              <w:left w:val="single" w:sz="6" w:space="0" w:color="000000"/>
              <w:bottom w:val="single" w:sz="6" w:space="0" w:color="000000"/>
              <w:right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r>
      <w:tr w:rsidR="00BD3C0A" w:rsidRPr="00BD3C0A" w:rsidTr="008F2AE8">
        <w:trPr>
          <w:cantSplit/>
          <w:trHeight w:val="480"/>
        </w:trPr>
        <w:tc>
          <w:tcPr>
            <w:tcW w:w="912" w:type="dxa"/>
            <w:tcBorders>
              <w:top w:val="single" w:sz="6" w:space="0" w:color="000000"/>
              <w:left w:val="single" w:sz="6" w:space="0" w:color="000000"/>
              <w:bottom w:val="single" w:sz="6" w:space="0" w:color="000000"/>
            </w:tcBorders>
            <w:shd w:val="clear" w:color="auto" w:fill="auto"/>
          </w:tcPr>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w:t>
            </w:r>
          </w:p>
        </w:tc>
        <w:tc>
          <w:tcPr>
            <w:tcW w:w="6156" w:type="dxa"/>
            <w:tcBorders>
              <w:top w:val="single" w:sz="6" w:space="0" w:color="000000"/>
              <w:left w:val="single" w:sz="6" w:space="0" w:color="000000"/>
              <w:bottom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c>
          <w:tcPr>
            <w:tcW w:w="2498" w:type="dxa"/>
            <w:tcBorders>
              <w:top w:val="single" w:sz="6" w:space="0" w:color="000000"/>
              <w:left w:val="single" w:sz="6" w:space="0" w:color="000000"/>
              <w:bottom w:val="single" w:sz="6" w:space="0" w:color="000000"/>
              <w:right w:val="single" w:sz="6" w:space="0" w:color="000000"/>
            </w:tcBorders>
            <w:shd w:val="clear" w:color="auto" w:fill="auto"/>
          </w:tcPr>
          <w:p w:rsidR="00BD3C0A" w:rsidRPr="00BD3C0A" w:rsidRDefault="00BD3C0A" w:rsidP="00BD3C0A">
            <w:pPr>
              <w:numPr>
                <w:ilvl w:val="0"/>
                <w:numId w:val="1"/>
              </w:numPr>
              <w:suppressAutoHyphens/>
              <w:snapToGrid w:val="0"/>
              <w:spacing w:after="0" w:line="240" w:lineRule="auto"/>
              <w:rPr>
                <w:rFonts w:ascii="Times New Roman" w:eastAsia="Times New Roman" w:hAnsi="Times New Roman" w:cs="Times New Roman"/>
                <w:w w:val="90"/>
                <w:sz w:val="24"/>
                <w:szCs w:val="24"/>
                <w:lang w:eastAsia="zh-CN"/>
              </w:rPr>
            </w:pPr>
          </w:p>
        </w:tc>
      </w:tr>
    </w:tbl>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b/>
          <w:bCs/>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b/>
          <w:bCs/>
          <w:sz w:val="24"/>
          <w:szCs w:val="24"/>
          <w:lang w:eastAsia="zh-CN"/>
        </w:rPr>
      </w:pP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sz w:val="24"/>
          <w:szCs w:val="24"/>
          <w:lang w:eastAsia="zh-CN"/>
        </w:rPr>
        <w:t>____________________                    _________________</w:t>
      </w:r>
      <w:r w:rsidRPr="00BD3C0A">
        <w:rPr>
          <w:rFonts w:ascii="Times New Roman" w:eastAsia="Times New Roman" w:hAnsi="Times New Roman" w:cs="Times New Roman"/>
          <w:sz w:val="24"/>
          <w:szCs w:val="24"/>
          <w:lang w:eastAsia="zh-CN"/>
        </w:rPr>
        <w:tab/>
        <w:t>________________________</w:t>
      </w:r>
    </w:p>
    <w:p w:rsidR="00BD3C0A" w:rsidRPr="00BD3C0A" w:rsidRDefault="00BD3C0A" w:rsidP="00BD3C0A">
      <w:pPr>
        <w:numPr>
          <w:ilvl w:val="0"/>
          <w:numId w:val="1"/>
        </w:numPr>
        <w:suppressAutoHyphens/>
        <w:spacing w:after="0" w:line="240" w:lineRule="auto"/>
        <w:rPr>
          <w:rFonts w:ascii="Times New Roman" w:eastAsia="Times New Roman" w:hAnsi="Times New Roman" w:cs="Times New Roman"/>
          <w:w w:val="90"/>
          <w:sz w:val="24"/>
          <w:szCs w:val="24"/>
          <w:lang w:eastAsia="zh-CN"/>
        </w:rPr>
      </w:pPr>
      <w:r w:rsidRPr="00BD3C0A">
        <w:rPr>
          <w:rFonts w:ascii="Times New Roman" w:eastAsia="Times New Roman" w:hAnsi="Times New Roman" w:cs="Times New Roman"/>
          <w:i/>
          <w:sz w:val="24"/>
          <w:szCs w:val="24"/>
          <w:vertAlign w:val="subscript"/>
          <w:lang w:eastAsia="zh-CN"/>
        </w:rPr>
        <w:t xml:space="preserve">  (наименование должности)                                                    (подпись)</w:t>
      </w:r>
      <w:r w:rsidRPr="00BD3C0A">
        <w:rPr>
          <w:rFonts w:ascii="Times New Roman" w:eastAsia="Times New Roman" w:hAnsi="Times New Roman" w:cs="Times New Roman"/>
          <w:i/>
          <w:sz w:val="24"/>
          <w:szCs w:val="24"/>
          <w:vertAlign w:val="subscript"/>
          <w:lang w:eastAsia="zh-CN"/>
        </w:rPr>
        <w:tab/>
        <w:t xml:space="preserve">                                                                (Ф.И.О.)</w:t>
      </w:r>
    </w:p>
    <w:p w:rsidR="00BD3C0A" w:rsidRPr="00BD3C0A" w:rsidRDefault="00BD3C0A" w:rsidP="00BD3C0A">
      <w:pPr>
        <w:widowControl w:val="0"/>
        <w:tabs>
          <w:tab w:val="left" w:pos="1134"/>
        </w:tabs>
        <w:spacing w:after="0" w:line="240" w:lineRule="auto"/>
        <w:contextualSpacing/>
        <w:jc w:val="both"/>
        <w:rPr>
          <w:rFonts w:ascii="Times New Roman" w:eastAsia="SimSun" w:hAnsi="Times New Roman" w:cs="Times New Roman"/>
          <w:kern w:val="1"/>
          <w:sz w:val="28"/>
          <w:szCs w:val="28"/>
          <w:highlight w:val="white"/>
          <w:lang w:eastAsia="ru-RU" w:bidi="hi-I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ind w:firstLine="709"/>
        <w:jc w:val="both"/>
        <w:rPr>
          <w:rFonts w:ascii="Liberation Serif" w:eastAsia="Liberation Serif" w:hAnsi="Liberation Serif" w:cs="Liberation Serif"/>
          <w:color w:val="000000"/>
          <w:sz w:val="26"/>
          <w:szCs w:val="26"/>
          <w:lang w:eastAsia="zh-CN"/>
        </w:rPr>
      </w:pPr>
    </w:p>
    <w:p w:rsidR="00BD3C0A" w:rsidRPr="00BD3C0A" w:rsidRDefault="00BD3C0A" w:rsidP="00BD3C0A">
      <w:pPr>
        <w:widowControl w:val="0"/>
        <w:autoSpaceDE w:val="0"/>
        <w:spacing w:after="0" w:line="240" w:lineRule="auto"/>
        <w:jc w:val="both"/>
        <w:rPr>
          <w:rFonts w:ascii="Liberation Serif" w:eastAsia="Liberation Serif" w:hAnsi="Liberation Serif" w:cs="Liberation Serif"/>
          <w:color w:val="000000"/>
          <w:sz w:val="26"/>
          <w:szCs w:val="26"/>
          <w:lang w:eastAsia="zh-CN"/>
        </w:rPr>
      </w:pPr>
    </w:p>
    <w:p w:rsidR="006D63AB" w:rsidRDefault="006D63AB">
      <w:bookmarkStart w:id="0" w:name="_GoBack"/>
      <w:bookmarkEnd w:id="0"/>
    </w:p>
    <w:sectPr w:rsidR="006D63AB" w:rsidSect="00A80721">
      <w:headerReference w:type="default" r:id="rId11"/>
      <w:pgSz w:w="11906" w:h="16838" w:code="9"/>
      <w:pgMar w:top="1134" w:right="567" w:bottom="1134" w:left="1701" w:header="567" w:footer="0" w:gutter="0"/>
      <w:cols w:space="720"/>
      <w:formProt w:val="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3001"/>
      <w:docPartObj>
        <w:docPartGallery w:val="Page Numbers (Top of Page)"/>
        <w:docPartUnique/>
      </w:docPartObj>
    </w:sdtPr>
    <w:sdtEndPr/>
    <w:sdtContent>
      <w:p w:rsidR="00B365D1" w:rsidRDefault="00BD3C0A">
        <w:pPr>
          <w:pStyle w:val="a3"/>
          <w:jc w:val="center"/>
        </w:pPr>
        <w:r>
          <w:fldChar w:fldCharType="begin"/>
        </w:r>
        <w:r>
          <w:instrText>PAGE   \* MERGEFORMAT</w:instrText>
        </w:r>
        <w:r>
          <w:fldChar w:fldCharType="separate"/>
        </w:r>
        <w:r>
          <w:rPr>
            <w:noProof/>
          </w:rPr>
          <w:t>13</w:t>
        </w:r>
        <w:r>
          <w:fldChar w:fldCharType="end"/>
        </w:r>
      </w:p>
    </w:sdtContent>
  </w:sdt>
  <w:p w:rsidR="00B365D1" w:rsidRDefault="00BD3C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center"/>
      <w:pPr>
        <w:tabs>
          <w:tab w:val="num" w:pos="0"/>
        </w:tabs>
        <w:ind w:left="432" w:hanging="432"/>
      </w:pPr>
      <w:rPr>
        <w:rFonts w:ascii="Times New Roman CYR" w:hAnsi="Times New Roman CYR" w:cs="Times New Roman CYR"/>
        <w:bCs/>
        <w:w w:val="100"/>
        <w:sz w:val="28"/>
        <w:szCs w:val="28"/>
        <w:highlight w:val="white"/>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0A"/>
    <w:rsid w:val="00161B17"/>
    <w:rsid w:val="006D63AB"/>
    <w:rsid w:val="007B61FA"/>
    <w:rsid w:val="00BD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3C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3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3C0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D3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oseltor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937FFF2B31724645A29DDECED6830E26B4DBA721B89A3C9694AEDE3B54B0124DDB81ADYC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6092</Words>
  <Characters>34729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Шахбазова Е.В</dc:creator>
  <cp:lastModifiedBy>Шахбазова Е.В</cp:lastModifiedBy>
  <cp:revision>1</cp:revision>
  <dcterms:created xsi:type="dcterms:W3CDTF">2025-04-04T07:06:00Z</dcterms:created>
  <dcterms:modified xsi:type="dcterms:W3CDTF">2025-04-04T07:06:00Z</dcterms:modified>
</cp:coreProperties>
</file>