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70" w:rsidRDefault="00174159">
      <w:pPr>
        <w:pStyle w:val="Standard"/>
        <w:jc w:val="both"/>
        <w:rPr>
          <w:rFonts w:ascii="Bookman Old Style" w:hAnsi="Bookman Old Style" w:cs="Bookman Old Style"/>
          <w:w w:val="100"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 w:cs="Bookman Old Style"/>
          <w:sz w:val="20"/>
          <w:szCs w:val="20"/>
        </w:rPr>
        <w:object w:dxaOrig="1440" w:dyaOrig="1440" w14:anchorId="0756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18.15pt;margin-top:-4.7pt;width:36.5pt;height:43.7pt;z-index:3;visibility:visible;mso-wrap-style:square;mso-position-horizontal-relative:text;mso-position-vertical-relative:text">
            <v:imagedata r:id="rId7" o:title=""/>
            <w10:wrap type="topAndBottom"/>
          </v:shape>
          <o:OLEObject Type="Embed" ProgID="Unknown" ShapeID="Объект1" DrawAspect="Content" ObjectID="_1804482199" r:id="rId8"/>
        </w:object>
      </w:r>
    </w:p>
    <w:p w:rsidR="00EC3D70" w:rsidRDefault="00174159">
      <w:pPr>
        <w:pStyle w:val="p3"/>
        <w:widowControl w:val="0"/>
        <w:spacing w:before="0" w:after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АДМИНИСТРАЦИЯ ГРЯЗОВЕЦКОГО МУНИЦИПАЛЬНОГО </w:t>
      </w:r>
      <w:r>
        <w:rPr>
          <w:rFonts w:ascii="Liberation Serif" w:hAnsi="Liberation Serif"/>
          <w:b/>
          <w:bCs/>
          <w:sz w:val="26"/>
          <w:szCs w:val="26"/>
        </w:rPr>
        <w:t>ОКРУГА</w:t>
      </w:r>
    </w:p>
    <w:p w:rsidR="00EC3D70" w:rsidRDefault="00EC3D70">
      <w:pPr>
        <w:pStyle w:val="p3"/>
        <w:widowControl w:val="0"/>
        <w:spacing w:before="0" w:after="0"/>
        <w:jc w:val="center"/>
        <w:rPr>
          <w:rFonts w:ascii="Liberation Serif" w:hAnsi="Liberation Serif"/>
          <w:sz w:val="36"/>
          <w:szCs w:val="36"/>
        </w:rPr>
      </w:pPr>
    </w:p>
    <w:p w:rsidR="00EC3D70" w:rsidRDefault="00174159">
      <w:pPr>
        <w:pStyle w:val="p5"/>
        <w:widowControl w:val="0"/>
        <w:spacing w:before="0" w:after="0"/>
        <w:jc w:val="center"/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EC3D70" w:rsidRDefault="00EC3D70">
      <w:pPr>
        <w:pStyle w:val="Standard"/>
        <w:jc w:val="both"/>
        <w:rPr>
          <w:rFonts w:ascii="Liberation Serif" w:hAnsi="Liberation Serif"/>
          <w:sz w:val="20"/>
          <w:szCs w:val="20"/>
        </w:rPr>
      </w:pPr>
    </w:p>
    <w:p w:rsidR="00EC3D70" w:rsidRDefault="00EC3D70">
      <w:pPr>
        <w:pStyle w:val="Standard"/>
        <w:jc w:val="both"/>
        <w:rPr>
          <w:rFonts w:ascii="Liberation Serif" w:hAnsi="Liberation Serif"/>
          <w:sz w:val="20"/>
          <w:szCs w:val="20"/>
        </w:rPr>
      </w:pPr>
    </w:p>
    <w:p w:rsidR="00EC3D70" w:rsidRDefault="00EC3D70">
      <w:pPr>
        <w:pStyle w:val="Standard"/>
        <w:jc w:val="both"/>
        <w:rPr>
          <w:rFonts w:ascii="Liberation Serif" w:hAnsi="Liberation Serif"/>
          <w:sz w:val="22"/>
          <w:szCs w:val="22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459"/>
        <w:gridCol w:w="885"/>
      </w:tblGrid>
      <w:tr w:rsidR="00EC3D7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snapToGrid w:val="0"/>
              <w:spacing w:after="10"/>
              <w:jc w:val="center"/>
              <w:rPr>
                <w:rFonts w:ascii="Liberation Serif" w:eastAsia="Bookman Old Style" w:hAnsi="Liberation Serif" w:cs="Liberation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70" w:rsidRDefault="00EC3D70">
            <w:pPr>
              <w:pStyle w:val="Standard"/>
              <w:snapToGrid w:val="0"/>
              <w:spacing w:after="10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EC3D70" w:rsidRDefault="00174159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100"/>
          <w:sz w:val="20"/>
          <w:szCs w:val="20"/>
        </w:rPr>
        <w:t xml:space="preserve">                            </w:t>
      </w:r>
      <w:r>
        <w:rPr>
          <w:rFonts w:ascii="Liberation Serif" w:hAnsi="Liberation Serif"/>
          <w:w w:val="100"/>
          <w:sz w:val="24"/>
        </w:rPr>
        <w:t xml:space="preserve">  </w:t>
      </w:r>
      <w:r>
        <w:rPr>
          <w:rFonts w:ascii="Liberation Serif" w:hAnsi="Liberation Serif"/>
          <w:w w:val="100"/>
          <w:sz w:val="24"/>
        </w:rPr>
        <w:t xml:space="preserve">г. Грязовец </w:t>
      </w:r>
      <w:r>
        <w:rPr>
          <w:rFonts w:ascii="Liberation Serif" w:hAnsi="Liberation Serif"/>
          <w:w w:val="100"/>
          <w:sz w:val="20"/>
          <w:szCs w:val="20"/>
        </w:rPr>
        <w:t xml:space="preserve">                                                     </w:t>
      </w:r>
    </w:p>
    <w:p w:rsidR="00EC3D70" w:rsidRDefault="00EC3D70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4"/>
        </w:rPr>
      </w:pPr>
    </w:p>
    <w:p w:rsidR="00EC3D70" w:rsidRDefault="00174159">
      <w:pPr>
        <w:pStyle w:val="Textbody"/>
        <w:tabs>
          <w:tab w:val="clear" w:pos="9712"/>
        </w:tabs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sz w:val="28"/>
          <w:szCs w:val="28"/>
        </w:rPr>
      </w:pPr>
      <w:r>
        <w:rPr>
          <w:rFonts w:ascii="Liberation Serif" w:eastAsia="Calibri" w:hAnsi="Liberation Serif"/>
          <w:bCs/>
          <w:iCs/>
          <w:spacing w:val="-4"/>
          <w:w w:val="100"/>
          <w:sz w:val="24"/>
        </w:rPr>
        <w:t xml:space="preserve">  </w:t>
      </w:r>
      <w:r>
        <w:rPr>
          <w:rFonts w:ascii="Liberation Serif" w:eastAsia="Calibri" w:hAnsi="Liberation Serif"/>
          <w:bCs/>
          <w:iCs/>
          <w:spacing w:val="-4"/>
          <w:w w:val="100"/>
          <w:sz w:val="28"/>
          <w:szCs w:val="28"/>
        </w:rPr>
        <w:t xml:space="preserve">      </w:t>
      </w:r>
    </w:p>
    <w:p w:rsidR="00EC3D70" w:rsidRDefault="00174159">
      <w:pPr>
        <w:pStyle w:val="Standard"/>
        <w:tabs>
          <w:tab w:val="left" w:pos="4617"/>
        </w:tabs>
        <w:jc w:val="center"/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</w:rPr>
      </w:pP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</w:rPr>
        <w:t xml:space="preserve">Об утверждении </w:t>
      </w: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</w:rPr>
        <w:t>административного регламента «Предоставление муниципальной услуги по  переводу земель или земельных участков в составе таких земель              из одной категории в другую»</w:t>
      </w:r>
    </w:p>
    <w:p w:rsidR="00EC3D70" w:rsidRDefault="00EC3D70">
      <w:pPr>
        <w:pStyle w:val="Standard"/>
        <w:rPr>
          <w:rFonts w:ascii="Liberation Serif" w:eastAsia="Calibri" w:hAnsi="Liberation Serif"/>
          <w:bCs/>
          <w:iCs/>
          <w:spacing w:val="-4"/>
          <w:w w:val="100"/>
          <w:sz w:val="28"/>
          <w:szCs w:val="28"/>
        </w:rPr>
      </w:pPr>
    </w:p>
    <w:p w:rsidR="00EC3D70" w:rsidRDefault="00174159">
      <w:pPr>
        <w:pStyle w:val="Standard"/>
        <w:rPr>
          <w:rFonts w:ascii="Liberation Serif" w:eastAsia="Calibri" w:hAnsi="Liberation Serif"/>
          <w:bCs/>
          <w:iCs/>
          <w:spacing w:val="-4"/>
          <w:w w:val="100"/>
          <w:sz w:val="28"/>
          <w:szCs w:val="28"/>
        </w:rPr>
      </w:pPr>
      <w:r>
        <w:rPr>
          <w:rFonts w:ascii="Liberation Serif" w:eastAsia="Calibri" w:hAnsi="Liberation Serif"/>
          <w:bCs/>
          <w:iCs/>
          <w:spacing w:val="-4"/>
          <w:w w:val="100"/>
          <w:sz w:val="28"/>
          <w:szCs w:val="28"/>
        </w:rPr>
        <w:t xml:space="preserve"> </w:t>
      </w:r>
    </w:p>
    <w:p w:rsidR="00EC3D70" w:rsidRDefault="00EC3D70">
      <w:pPr>
        <w:pStyle w:val="Standard"/>
        <w:rPr>
          <w:rFonts w:ascii="Liberation Serif" w:eastAsia="Calibri" w:hAnsi="Liberation Serif"/>
          <w:bCs/>
          <w:iCs/>
          <w:spacing w:val="-4"/>
          <w:w w:val="100"/>
        </w:rPr>
      </w:pPr>
    </w:p>
    <w:p w:rsidR="00EC3D70" w:rsidRDefault="00174159">
      <w:pPr>
        <w:pStyle w:val="Standard"/>
        <w:shd w:val="clear" w:color="auto" w:fill="FFFFFF"/>
        <w:suppressAutoHyphens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В соответствии с Федеральным законом Российской Федерации от 27.07.2010 № 210-</w:t>
      </w: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ФЗ «Об организации предоставления государственных и муниципальных услуг», Земельным Кодексом Российской Федерации от 25.10.2001 № 136-ФЗ,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Постановлением администрации Грязовецкого муниципального района  от 01.06.2022 № 259 «О порядках разработки и утвержде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ния административных регламентов предоставления муниципальных услуг, административных регламентов исполнения муниципальных функций органами местного самоуправления Грязовецкого муниципального района»</w:t>
      </w:r>
    </w:p>
    <w:p w:rsidR="00EC3D70" w:rsidRDefault="00174159">
      <w:pPr>
        <w:pStyle w:val="Standard"/>
        <w:suppressAutoHyphens/>
        <w:jc w:val="both"/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lang w:eastAsia="ru-RU"/>
        </w:rPr>
        <w:t>Администрация Грязовецкого муниципального округа ПОСТАНО</w:t>
      </w: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lang w:eastAsia="ru-RU"/>
        </w:rPr>
        <w:t>ВЛЯЕТ:</w:t>
      </w:r>
    </w:p>
    <w:p w:rsidR="00EC3D70" w:rsidRDefault="00174159">
      <w:pPr>
        <w:pStyle w:val="Standard"/>
        <w:suppressAutoHyphens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sz w:val="26"/>
          <w:szCs w:val="26"/>
        </w:rPr>
      </w:pPr>
      <w:r>
        <w:rPr>
          <w:rFonts w:ascii="Liberation Serif" w:eastAsia="Calibri" w:hAnsi="Liberation Serif"/>
          <w:bCs/>
          <w:iCs/>
          <w:spacing w:val="-4"/>
          <w:w w:val="100"/>
          <w:sz w:val="26"/>
          <w:szCs w:val="26"/>
        </w:rPr>
        <w:t>1. Утвердить административный регламент «Предоставление</w:t>
      </w:r>
      <w:r>
        <w:rPr>
          <w:rFonts w:ascii="Liberation Serif" w:eastAsia="Calibri" w:hAnsi="Liberation Serif"/>
          <w:bCs/>
          <w:iCs/>
          <w:spacing w:val="-4"/>
          <w:w w:val="100"/>
          <w:sz w:val="26"/>
          <w:szCs w:val="26"/>
        </w:rPr>
        <w:t xml:space="preserve"> муниципальной услуги по переводу земель или земельных участков в составе таких земель из одной категории в другую» (прилагается).</w:t>
      </w:r>
    </w:p>
    <w:p w:rsidR="00EC3D70" w:rsidRDefault="00174159">
      <w:pPr>
        <w:pStyle w:val="Standard"/>
        <w:shd w:val="clear" w:color="auto" w:fill="FFFFFF"/>
        <w:suppressAutoHyphens/>
        <w:spacing w:after="29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</w:t>
      </w:r>
      <w:r>
        <w:rPr>
          <w:rFonts w:ascii="Liberation Serif" w:hAnsi="Liberation Serif" w:cs="Bookman Old Style"/>
          <w:w w:val="100"/>
          <w:sz w:val="26"/>
          <w:szCs w:val="26"/>
        </w:rPr>
        <w:t xml:space="preserve">. </w:t>
      </w:r>
      <w:r>
        <w:rPr>
          <w:rFonts w:ascii="Liberation Serif" w:eastAsia="Calibri" w:hAnsi="Liberation Serif"/>
          <w:iCs/>
          <w:spacing w:val="-4"/>
          <w:w w:val="100"/>
          <w:sz w:val="26"/>
          <w:szCs w:val="26"/>
          <w:lang w:eastAsia="ru-RU"/>
        </w:rPr>
        <w:t xml:space="preserve">Ответственным за выполнение муниципальной услуги </w:t>
      </w:r>
      <w:r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определить уполномоченный орган - отраслевой (функциональный) орган </w:t>
      </w:r>
      <w:r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  <w:t>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EC3D70" w:rsidRDefault="00174159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3. Признать утратившим силу постановление админи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страции Грязовецкого муниципального </w:t>
      </w: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округа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от </w:t>
      </w:r>
      <w:r>
        <w:rPr>
          <w:rFonts w:ascii="Liberation Serif" w:hAnsi="Liberation Serif" w:cs="Liberation Serif"/>
          <w:w w:val="100"/>
          <w:sz w:val="26"/>
          <w:szCs w:val="26"/>
        </w:rPr>
        <w:t>18.01.2023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№ </w:t>
      </w:r>
      <w:r>
        <w:rPr>
          <w:rFonts w:ascii="Liberation Serif" w:hAnsi="Liberation Serif" w:cs="Liberation Serif"/>
          <w:w w:val="100"/>
          <w:sz w:val="26"/>
          <w:szCs w:val="26"/>
        </w:rPr>
        <w:t>76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«</w:t>
      </w:r>
      <w:r>
        <w:rPr>
          <w:rFonts w:ascii="Liberation Serif" w:eastAsia="Calibri" w:hAnsi="Liberation Serif"/>
          <w:bCs/>
          <w:iCs/>
          <w:spacing w:val="-4"/>
          <w:w w:val="100"/>
          <w:sz w:val="26"/>
          <w:szCs w:val="26"/>
        </w:rPr>
        <w:t xml:space="preserve">Предоставление муниципальной услуги по переводу земель или земельных участков в составе таких земель из одной категории в другую </w:t>
      </w:r>
      <w:r>
        <w:rPr>
          <w:rFonts w:ascii="Liberation Serif" w:eastAsia="Calibri" w:hAnsi="Liberation Serif"/>
          <w:bCs/>
          <w:iCs/>
          <w:spacing w:val="-4"/>
          <w:w w:val="100"/>
          <w:sz w:val="26"/>
          <w:szCs w:val="26"/>
        </w:rPr>
        <w:tab/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4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. Контроль за выполнением настоящего постановления возложить  на начальника Управления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имущественных и земельных отношений администрации  Грязовецкого муниципального округа  Вологодской области.</w:t>
      </w:r>
    </w:p>
    <w:p w:rsidR="00EC3D70" w:rsidRDefault="00174159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>5. Настоящее постановление вступает в силу со дня его подписания, подлежит официальному опубликованию и размещению на официальном сайте Грязовецкого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 муниципального округа.</w:t>
      </w:r>
    </w:p>
    <w:p w:rsidR="00EC3D70" w:rsidRDefault="00EC3D70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</w:pPr>
    </w:p>
    <w:p w:rsidR="00EC3D70" w:rsidRDefault="00174159">
      <w:pPr>
        <w:pStyle w:val="Standard"/>
        <w:suppressAutoHyphens/>
        <w:spacing w:line="276" w:lineRule="auto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Глава Грязовецкого муниципального округа                                                  Н.Н.Головчак</w:t>
      </w:r>
    </w:p>
    <w:p w:rsidR="00EC3D70" w:rsidRDefault="00EC3D70">
      <w:pPr>
        <w:pStyle w:val="Standard"/>
        <w:widowControl w:val="0"/>
        <w:jc w:val="center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4588"/>
      </w:tblGrid>
      <w:tr w:rsidR="00EC3D70">
        <w:tblPrEx>
          <w:tblCellMar>
            <w:top w:w="0" w:type="dxa"/>
            <w:bottom w:w="0" w:type="dxa"/>
          </w:tblCellMar>
        </w:tblPrEx>
        <w:tc>
          <w:tcPr>
            <w:tcW w:w="5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D70" w:rsidRDefault="00EC3D70">
            <w:pPr>
              <w:pStyle w:val="TableContents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D70" w:rsidRDefault="00174159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УТВЕРЖДЕН</w:t>
            </w:r>
          </w:p>
          <w:p w:rsidR="00EC3D70" w:rsidRDefault="00174159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постановлением администрации  </w:t>
            </w:r>
          </w:p>
          <w:p w:rsidR="00EC3D70" w:rsidRDefault="00174159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Грязовецкого муниципального района от  ____________ № ______________</w:t>
            </w:r>
          </w:p>
        </w:tc>
      </w:tr>
    </w:tbl>
    <w:p w:rsidR="00EC3D70" w:rsidRDefault="00EC3D70">
      <w:pPr>
        <w:pStyle w:val="Standard"/>
        <w:widowControl w:val="0"/>
        <w:jc w:val="center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</w:p>
    <w:p w:rsidR="00EC3D70" w:rsidRDefault="00EC3D70">
      <w:pPr>
        <w:pStyle w:val="Standard"/>
        <w:widowControl w:val="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Административный  регламент</w:t>
      </w:r>
    </w:p>
    <w:p w:rsidR="00EC3D70" w:rsidRDefault="00174159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предоставления муниципальной услуги по  переводу земель или земельных участков в составе таких земель из одной категории в другую</w:t>
      </w:r>
    </w:p>
    <w:p w:rsidR="00EC3D70" w:rsidRDefault="00EC3D70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240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I. Общие положения</w:t>
      </w:r>
    </w:p>
    <w:p w:rsidR="00EC3D70" w:rsidRDefault="00EC3D70">
      <w:pPr>
        <w:pStyle w:val="Standard"/>
        <w:jc w:val="center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numPr>
          <w:ilvl w:val="1"/>
          <w:numId w:val="2"/>
        </w:numPr>
        <w:ind w:left="0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bookmarkStart w:id="1" w:name="__DdeLink__6425_3712197906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Административный регламент предоставления муниципальной услуги по  переводу 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емель или земельных участков в составе таких земель из одной категории в другую</w:t>
      </w:r>
      <w:bookmarkEnd w:id="1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Действие административного регла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мента распространяется на земельные участки, находящиеся в муниципальной собственности, и земельные участки, государ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ственная собственность на которые не разграничена, расположенные на территории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зовецкого муниципального округа Вологодской области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, пол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EC3D70" w:rsidRDefault="00174159">
      <w:pPr>
        <w:pStyle w:val="Standard"/>
        <w:numPr>
          <w:ilvl w:val="1"/>
          <w:numId w:val="2"/>
        </w:numPr>
        <w:ind w:left="0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Заявителями при предоставлении муниципальной услуги являются физиче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ские и юридические лица либо уполномоченные ими лица (за исключ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ением государ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ственных органов и их территориальных органов, органов государственных внебюджет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ных фондов и их территориальных органов, органов местного самоуправления)</w:t>
      </w:r>
      <w:r>
        <w:rPr>
          <w:rFonts w:ascii="Liberation Serif" w:eastAsia="Calibri" w:hAnsi="Liberation Serif"/>
          <w:spacing w:val="-4"/>
          <w:w w:val="100"/>
          <w:kern w:val="0"/>
          <w:sz w:val="26"/>
          <w:szCs w:val="26"/>
          <w:lang w:eastAsia="ru-RU"/>
        </w:rPr>
        <w:t>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1.3. Место нахождения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Уполномоченного органа: администрация Грязовецкого муниципально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го округа, Управление по имущественным и земельным отношениям администрации Грязовецкого муниципального округа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(далее – Уполномоченный орган)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:</w:t>
      </w:r>
    </w:p>
    <w:p w:rsidR="00EC3D70" w:rsidRDefault="00174159">
      <w:pPr>
        <w:pStyle w:val="Standard"/>
        <w:tabs>
          <w:tab w:val="left" w:pos="851"/>
        </w:tabs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Почтовый адрес: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ул. К. Маркса, 58, г. Грязовец, Вологодская область, Россия, 162000;</w:t>
      </w:r>
    </w:p>
    <w:p w:rsidR="00EC3D70" w:rsidRDefault="00174159">
      <w:pPr>
        <w:pStyle w:val="Standard"/>
        <w:tabs>
          <w:tab w:val="left" w:pos="851"/>
        </w:tabs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widowControl w:val="0"/>
              <w:ind w:right="-5" w:firstLine="67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  <w:p w:rsidR="00EC3D70" w:rsidRDefault="00174159">
            <w:pPr>
              <w:pStyle w:val="Standard"/>
              <w:widowControl w:val="0"/>
              <w:ind w:right="-5" w:firstLine="67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08.00-12.00</w:t>
            </w:r>
          </w:p>
          <w:p w:rsidR="00EC3D70" w:rsidRDefault="00174159">
            <w:pPr>
              <w:pStyle w:val="Standard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               13.00-17.00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174159"/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174159"/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174159"/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00000" w:rsidRDefault="00174159"/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Предпраздничные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widowControl w:val="0"/>
              <w:ind w:right="-5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08.00-12.00</w:t>
            </w:r>
          </w:p>
          <w:p w:rsidR="00EC3D70" w:rsidRDefault="00174159">
            <w:pPr>
              <w:pStyle w:val="Standard"/>
              <w:widowControl w:val="0"/>
              <w:ind w:right="-5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13.00-16.00</w:t>
            </w:r>
          </w:p>
        </w:tc>
      </w:tr>
    </w:tbl>
    <w:p w:rsidR="00EC3D70" w:rsidRDefault="00174159">
      <w:pPr>
        <w:pStyle w:val="Standard"/>
        <w:ind w:firstLine="72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приема документов: Понедельник-пятница с 08.00.до 12.00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личного приема руководителя Уполномоченного органа: каждый четверг с 13.00-16.00..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  <w:t>Телефон для информирования по вопросам, связанным с предоставлением муни</w:t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  <w:softHyphen/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  <w:t>ципальной услуги:(817-55) 2-14-32</w:t>
      </w:r>
    </w:p>
    <w:p w:rsidR="00EC3D70" w:rsidRDefault="00174159">
      <w:pPr>
        <w:pStyle w:val="Standard"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 xml:space="preserve">Адрес официального сайта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Уполномоченного органа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в информационно-телеком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муникационной сети «Интернет» (далее соответственно - сеть «Интернет», сайт в сети «Интернет»): </w:t>
      </w:r>
      <w:hyperlink r:id="rId9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www.gradm.ru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</w:t>
      </w:r>
    </w:p>
    <w:p w:rsidR="00EC3D70" w:rsidRDefault="00174159">
      <w:pPr>
        <w:pStyle w:val="Standard"/>
        <w:ind w:right="-143" w:firstLine="720"/>
        <w:jc w:val="both"/>
        <w:outlineLvl w:val="0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федеральной государственной информационной системы «Единый портал государстве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нных и муниципальных услуг (функций)» (далее – Единый портал) в сети 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тернет: </w:t>
      </w:r>
      <w:hyperlink r:id="rId10" w:history="1">
        <w:r>
          <w:rPr>
            <w:rStyle w:val="Internetlink"/>
          </w:rPr>
          <w:t>www.gosuslugi.</w:t>
        </w:r>
      </w:hyperlink>
      <w:hyperlink r:id="rId11" w:history="1">
        <w:r>
          <w:rPr>
            <w:rStyle w:val="Internetlink"/>
          </w:rPr>
          <w:t>ru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</w:t>
      </w:r>
    </w:p>
    <w:p w:rsidR="00EC3D70" w:rsidRDefault="00174159">
      <w:pPr>
        <w:pStyle w:val="Standard"/>
        <w:ind w:right="-143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государственной информационной системы «Портал государственных и му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ниципальных услуг (функций) Вологодской области» (далее – Региональный портал) в сети Интернет: </w:t>
      </w:r>
      <w:hyperlink r:id="rId12" w:history="1">
        <w:r>
          <w:rPr>
            <w:rStyle w:val="Internetlink"/>
          </w:rPr>
          <w:t>https</w:t>
        </w:r>
      </w:hyperlink>
      <w:hyperlink r:id="rId13" w:history="1">
        <w:r>
          <w:rPr>
            <w:rStyle w:val="Internetlink"/>
          </w:rPr>
          <w:t>://gosuslugi35.ru.</w:t>
        </w:r>
      </w:hyperlink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Сведения о месте нахождения многофункциональных цент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ров предоставления го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1.4. Способы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получения информации о правилах предоставления муниципальной услуги: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лично;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телефонной связи;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электронной почты,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почтовой связи;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 информационных стендах в помещениях 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>Уполномоченного органа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, МФЦ;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сети «Интернет»: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официальном сайте 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>Уполномоченного органа, МФЦ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Едином портале;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Региональном портале.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 Порядок информирования о предоставлении муниципальной услуги.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место нахождения Уполномоченного органа, его структурных подразделений (при наличии), МФЦ;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должностные лица и муниципальные служащие Уполномоченного органа, упол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номоченные предоставлять муниципальную услугу и номера контактных телефонов;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работы Уп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олномоченного органа, МФЦ;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сайта в сети «Интернет» Уполномоченного органа, МФЦ;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электронной почты Уполномоченного органа, МФЦ;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аименование, номер, дата принятия норма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тивного правового акта);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 предоставления муниципальной услуги;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административные процедуры предоставления муниципальной услуги;</w:t>
      </w:r>
    </w:p>
    <w:p w:rsidR="00EC3D70" w:rsidRDefault="00174159">
      <w:pPr>
        <w:pStyle w:val="Standard"/>
        <w:tabs>
          <w:tab w:val="left" w:pos="540"/>
        </w:tabs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срок предоставления муниципальной услуги;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порядок и формы контроля за предоставлением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муниципальной услуги;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досудебный и судебный порядок обжалования действий (бездействия) должност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ных лиц и муниципальных служащих Уполномоченного органа, ответственных за предоставление муниципальн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ой услуги, а также решений, принятых в ходе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муниципальной услуги.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иная информация о деятельности Уполномоченного органа, в соответствии с Фе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деральным законом от 9 февраля 2009 года № 8-ФЗ «Об обеспечении доступа к инфор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мации о деятельност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 государственных органов и органов местного самоуправления».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1.5.2. Информирование (консультирование) осуществляется специалистами Упол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номоченного органа (МФЦ), ответственными за информирование, при обращении заяви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телей за информацией лично, посредством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телефонной и почтовой связи, электронной почты.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Информирование проводится на русском языке в форме: индивидуального и пуб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личного информирования.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1.5.3. Индивидуальное устное информирование осуществляется должностными лицами, ответственными за информиров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ание, при обращении заявителей за информаци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ей лично или посредством  телефонной связи.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лечением других сотрудников.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лицами структурных подразделений органов и организаций, участвующих в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тавлении муниципальной услуги.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если предоставление информации, необходимой заявителю, не представ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ляется возможным посредством телефонной связи, сотрудник Уполномоченного органа (МФЦ), принявший телефонный звонок, разъясняет заявителю право обрати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ться с пись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менным обращением в Уполномоченный орган и требования к оформлению обращения.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 ответе на телефонные звонки специалист, ответственный за информирова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ние, должен назвать фамилию, имя, отчество, занимаемую должность и наименование Уполномоченно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го органа (структурного подразделения при наличии).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и не прерывать разговор по причи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не поступления звонка на другой аппарат. В конце информирования специалист,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ственный за информирование, должен кратко подвести итоги и перечислить меры, кото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рые необходимо принять (кто именно, когда и что должен сде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лать).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1.5.4. Индивидуальное письменное информирование осуществляется в виде пись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менного ответа на обращение заинтересованного лица в соответствии с законодатель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ством о порядке рассмотрения обращений граждан.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Ответ на ходатайство предоставляется в просто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й, четкой форме с указанием фа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1.5.5. Публичное устное информирование осуществл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яется посредством привлече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ководителем Уполномоченного органа.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1.5.6. Публичное письменное инфор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мирование осуществляется путем публикации информационных материалов о правилах предоставления муниципальной услуги, а так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же административного регламента и муниципального правового акта об его утвержде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нии: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средствах массовой информации;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 сайте в сети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«Интернет»;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Региональном портале;</w:t>
      </w: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информационных стендах Уполномоченного органа, МФЦ.</w:t>
      </w:r>
    </w:p>
    <w:p w:rsidR="00EC3D70" w:rsidRDefault="00EC3D70">
      <w:pPr>
        <w:pStyle w:val="Standard"/>
        <w:widowControl w:val="0"/>
        <w:tabs>
          <w:tab w:val="left" w:pos="720"/>
        </w:tabs>
        <w:ind w:left="720" w:right="-5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II. Стандарт предоставления муниципальной услуги</w:t>
      </w:r>
    </w:p>
    <w:p w:rsidR="00EC3D70" w:rsidRDefault="00EC3D70">
      <w:pPr>
        <w:pStyle w:val="Standard"/>
        <w:tabs>
          <w:tab w:val="left" w:pos="1440"/>
          <w:tab w:val="left" w:pos="1620"/>
        </w:tabs>
        <w:ind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2.1. Наименование муниципальной услуги</w:t>
      </w:r>
    </w:p>
    <w:p w:rsidR="00EC3D70" w:rsidRDefault="00EC3D70">
      <w:pPr>
        <w:pStyle w:val="Standard"/>
        <w:tabs>
          <w:tab w:val="left" w:pos="1440"/>
          <w:tab w:val="left" w:pos="1620"/>
        </w:tabs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Перевод земель или земельных участков в составе таких земель из одной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катего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рии в другую.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2.2. Наименование органа местного самоуправления,</w:t>
      </w: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предоставляющего муниципальную услугу</w:t>
      </w:r>
    </w:p>
    <w:p w:rsidR="00EC3D70" w:rsidRDefault="00EC3D70">
      <w:pPr>
        <w:pStyle w:val="Standard"/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2.2.1. </w:t>
      </w:r>
      <w:r>
        <w:rPr>
          <w:rFonts w:ascii="Liberation Serif" w:eastAsia="Calibri" w:hAnsi="Liberation Serif"/>
          <w:spacing w:val="-4"/>
          <w:w w:val="100"/>
          <w:kern w:val="0"/>
          <w:sz w:val="26"/>
          <w:szCs w:val="26"/>
          <w:shd w:val="clear" w:color="auto" w:fill="FFFFFF"/>
          <w:lang w:eastAsia="ru-RU"/>
        </w:rPr>
        <w:t>Муниципальная услуга предоставляется: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Управлением  имущественных и земельных отношений администрации Грязовецкого муниципального округа 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ологодской области -далее Уполномоченный орган;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МФЦ по месту жительства заявителя - в части (в части приема и (или) выдачи 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кументов на предоставление муниципальной услуги (при условии заключения соглаше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ний о взаимодействии с МФЦ).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2.2.2. Не допускается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требовать от заявителя осуществления действий, в том чис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 согласований, необходимых для получения муниципальной услуги и связанных с об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ращением в иные органы и организации, не предусмотренных административным регла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ментом.</w:t>
      </w:r>
    </w:p>
    <w:p w:rsidR="00EC3D70" w:rsidRDefault="00EC3D70">
      <w:pPr>
        <w:pStyle w:val="ac"/>
        <w:spacing w:before="0" w:after="0"/>
        <w:ind w:firstLine="720"/>
        <w:jc w:val="both"/>
        <w:rPr>
          <w:rFonts w:ascii="Liberation Serif" w:eastAsia="Calibri" w:hAnsi="Liberation Serif"/>
          <w:b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2.3. Результат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предоставления муниципальной услуги.</w:t>
      </w:r>
    </w:p>
    <w:p w:rsidR="00EC3D70" w:rsidRDefault="00EC3D70">
      <w:pPr>
        <w:pStyle w:val="Standard"/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2.3.1.Результатом предоставления муниципальной услуги является направление (вручение) заявителю (заявителям):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решения о переводе земельного участка из одной категории в другую;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решения об отказе в переводе земельного 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частка из одной категории в другую.</w:t>
      </w:r>
    </w:p>
    <w:p w:rsidR="00EC3D70" w:rsidRDefault="00174159">
      <w:pPr>
        <w:pStyle w:val="Standard"/>
        <w:widowControl w:val="0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2.3.2.Результат предоставления муниципальной услуги подписывается Главой Грязовецкого мунциипального округа или лицом, его замещающим, или лицом, которому Главой Грязовецкого  муниципального округа делегировано право под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писания муниципальных правовых актов и иных решений по результатам предоставления муниципальной услуги (далее Уполномоченный орган).</w:t>
      </w:r>
    </w:p>
    <w:p w:rsidR="00EC3D70" w:rsidRDefault="00EC3D70">
      <w:pPr>
        <w:pStyle w:val="Standard"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2.4. Срок предоставления муниципальной услуги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2.4.1. Срок предоставления муниципальной услуги составляет не более 2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месяцев со дня поступления ходатайства и прилагаемых документов в Уполномоченный орган.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2.4.2. Срок выдачи (направления) заявителю решения о переводе земельного участка из одной категории в другую либо решения об отказе в переводе земельного участка из одн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ой категории в другую составляет 14 дней со принятия такого решения.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EC3D70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 Исчерпывающий перечень документов, необходимых в соответствии с норма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тивными правовыми актами для предоставления муниципальной услуги и услуг, кото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рые являются необходимыми и обя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зательными для предоставления муниципальной услуги, подлежащих представлению заявителем</w:t>
      </w:r>
    </w:p>
    <w:p w:rsidR="00EC3D70" w:rsidRDefault="00EC3D70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2.5.1. Для предоставления муниципальной услуги заявитель представляет (направляет):</w:t>
      </w:r>
    </w:p>
    <w:p w:rsidR="00EC3D70" w:rsidRDefault="00174159">
      <w:pPr>
        <w:pStyle w:val="Standard"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а) </w:t>
      </w:r>
      <w:hyperlink r:id="rId14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ходатайство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о переводе земель или земельного участка в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составе таких земель из одной категории в другую (далее - ходатайство) по форме согласно приложению 1 к административному регламенту.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ходатайстве указываются: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1) фамилия, имя, отчество (при наличии), место жительства заявителя и реквизи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ты документа,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удостоверяющего личность заявителя (для гражданина);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дического лица в едином государственном реестр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 юридических лиц, идентификацион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ный номер налогоплательщика;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3) почтовый адрес, номер телефона и (или) адрес электронной почты для связи с заявителем;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4) намерение заявителя перевести земельный участок из одной категории в дру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гую (с указанием категорий)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5) обоснование перевода земельного участка из состава земель одной категории в другую;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6) адрес земельного участка, площадь, кадастровый номер земельного участка (при наличии);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7) права заявителя на земельный уачток;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8) перечень прилагаемых документов;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9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) подпись заявителя;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10) дата;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11) способ предоставления результатов рассмотрения ходатайства.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Форма ходатайства на предоставление муниципальной услуги размещается на официальном сайте Уполномоченного органа в сети «Интернет» с возможностью бес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платного ко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пирования (скачивания).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заполняется разборчиво, в машинописном виде или от руки. Хода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тайство заверяется подписью заявителя (его уполномоченного представителя).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в форме электронного документа подписывается по выбору заявите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 (если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заявителем является физическое лицо):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простой электронной подписью заявителя;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усиленной квалифицированной электронной подписью заявителя.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от имени юридического лица заверяется по выбору заявителя элек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тронной подписью либо усиленной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квалифицированной электронной подписью (если заявителем является юридическое лицо):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представителя юридического лица, действующего на основании доверенности, выданной в соответствии с законодат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ельством Российской Федерации.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Ходатайство, по просьбе заявителя, может быть заполнено специалистом,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ственным за прием документов, с помощью компьютера или от руки. В последнем слу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чае заявитель (его уполномоченный представитель) вписывает в ходатайс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тво от руки свои фамилию, имя, отчество (полностью) и ставит подпись.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составляется в единственном экземпляре – оригинале.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 заполнении ходатайства не допускается использование сокращений слов и аббревиатур. Ответы на содержащиеся в ходатайст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ве вопросы должны быть конкретны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и исчерпывающими;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б) документ, удостоверяющий личность заявителя, являющегося физиче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 xml:space="preserve">ским лицом, либо личность представителя физического или юридического лица (представление документа не требуется в случае представления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хода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тайства с использованием Регионального портала, а также, если ходатайство подписано усиленной квалифицированной электронной подписью);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и представителя заяви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теля).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доверенность, заверенная нотариально (в случае обращения за получением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ципальной услуги представителя физического лица, в том числе 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ндивидуального пред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принимателя);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доверенность, подписанная правомочным должностным лицом организации и за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веренная печатью (при наличии), либо решение о назначении или об избрании, приказ о назначении физического лица на должность, в соответствии с которы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 такое физическое лицо обладает правом действовать от имени заявителя без доверенности (в случае об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ращения за получением муниципальной услуги представителя юридического лица), либо их заверенные в установленном законом порядке копии;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г) согласие правообл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адателя земельного участка на перевод земельного участка из состава земель одной категории в другую, за исключением случая, если правооблада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телем земельного участка является лицо, с которым заключено соглашение об установ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лении сервитута в отношении таког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 земельного участка.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2.5.2. Ходатайство и прилагаемые документы представляются заяви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телем в Уполномоченный орган (МФЦ) на бумажном носителе непосредствен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но или направляются посредством почтового отправления.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Заявитель вправе направить ходатайство и прил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агаемые документы в форме элек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2.5.3. В случае представления копий документов, необходимых для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Доку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мент, подтверждающий полномочия представителя юридического лица, представленный в форме электронного документа, удостоверяется усиленной электрон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ной подписью правомочного должностного лица организации.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Документ, подтверждающий полномочия представителя физ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ического лица, в том числе индивидуального предпринимателя, представленный в форме электронного доку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мента, удостоверяется усиленной электронной подписью нотариуса.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2.6.4. В случае представления документов представителем юридического лица на бумажном носит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еле копии документов представляются с предъявлением подлинников либо заверенными печатью юридического лица (при наличии) и подписью руководите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ля, иного должностного лица, уполномоченного на это юридическим лицом. После про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ведения сверки подлинники докуме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нтов незамедлительно возвращаются заявителю.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Документ, подтверждающий правомочие на обращение за получением муници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пальной услуги, выданный организацией, удостоверяется подписью руководителя и пе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чатью организации (при наличии).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2.5.5. В случае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представления документов физическим лицом на бумажном носи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теле копии документов представляются с предъявлением подлинников. После проведе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сверки подлинники документов незамедлительно возвращаются заявителю.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2.5.6. Документы не должны содержать подчист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2.5.7. В случае поступления в Уполномоченный орган ходатайства и прилагаемых нему  документов в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форме электронных документов Уполномоченный орган подтвер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ждает факт получения указанного ходатайства и прилагаемых к нему документов путем направления заявителю уведомления, содержащего входящие регистрационный номер ходатайства, дату получения Уполномоче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нным органом указанного ходатайства и при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ходатайства).</w:t>
      </w:r>
    </w:p>
    <w:p w:rsidR="00EC3D70" w:rsidRDefault="00174159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Уведомление о получении ходатай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ства направляется указанным заявителем в хо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датайстве способом не позднее рабочего дня, следующего за днем поступления хода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тайства в уполномоченный орган.</w:t>
      </w:r>
    </w:p>
    <w:p w:rsidR="00EC3D70" w:rsidRDefault="00EC3D70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2.6. Исчерпывающий перечень документов, необходимых в соответствии с нормативны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правовыми актами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для предоставления муниципальной услуги и услуг, которые яв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ляются необходимыми и обязательными для предоставления муниципальной услуги, ко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торые находятся в распоряжении государственных органов, органов местного само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управления и иных организаций  и кото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рые заявитель вправе представить</w:t>
      </w:r>
    </w:p>
    <w:p w:rsidR="00EC3D70" w:rsidRDefault="00EC3D70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2.6.1. Заявитель вправе представить в Уполномоченный орган: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выписку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осуществить;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выписку из Единого государственного реестра индивидуальных пред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принимателей (для заявителей - индивидуальных предпринимател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ей) или выписка из Единого государственного реестра юридических лиц (для заявителей - юридических лиц).</w:t>
      </w:r>
    </w:p>
    <w:p w:rsidR="00EC3D70" w:rsidRDefault="00174159">
      <w:pPr>
        <w:pStyle w:val="ConsPlusNormal"/>
        <w:widowControl/>
        <w:ind w:firstLine="709"/>
        <w:jc w:val="both"/>
        <w:outlineLvl w:val="0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2.6.2. Документы, указанные в </w:t>
      </w:r>
      <w:hyperlink r:id="rId15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пункте 2.7.1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административного регламента, могут быть представлены заявителем следующими способами: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почтовой связи;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 электронной почте;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Регионального портала.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2.6.3. Документы, указанные в пункте 2.7.1 административного регламента, н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е могут быть затребованы у заявителя, при этом заявитель вправе их представить вместе с ходатайством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нного документа.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2.6.4. 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2.6.5. Запрещено требовать от заявителя: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представл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ставлением муниципальной услуги;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представления документов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муниципальными правовыми актами;</w:t>
      </w:r>
    </w:p>
    <w:p w:rsidR="00EC3D70" w:rsidRDefault="00174159">
      <w:pPr>
        <w:pStyle w:val="ConsPlusNormal"/>
        <w:widowControl/>
        <w:ind w:firstLine="709"/>
        <w:jc w:val="both"/>
        <w:outlineLvl w:val="0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ципальной услуги, за исключением случаев, предусмотренных </w:t>
      </w:r>
      <w:hyperlink r:id="rId16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пунктом 4 части 1 статьи 7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Закона № 210-ФЗ;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C3D70" w:rsidRDefault="00EC3D70">
      <w:pPr>
        <w:pStyle w:val="Standard"/>
        <w:tabs>
          <w:tab w:val="left" w:pos="851"/>
        </w:tabs>
        <w:ind w:firstLine="567"/>
        <w:jc w:val="both"/>
        <w:outlineLvl w:val="1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4"/>
        <w:spacing w:before="0" w:after="0"/>
        <w:jc w:val="center"/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2.7 Исчерпывающий перечень оснований для отказа в при</w:t>
      </w: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еме ходатайства и  до</w:t>
      </w: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softHyphen/>
        <w:t>кументов, необходимых для предоставления муниципальной услуги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Оснований для отказа в приеме ходатайства и  документов, необходимых для предоставления муниципальной услуги, не имеется.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4"/>
        <w:spacing w:before="0" w:after="0"/>
        <w:jc w:val="center"/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 xml:space="preserve">2.8. Исчерпывающий перечень оснований для </w:t>
      </w: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приостановления или  отказа в предоставлении муниципальной услуги</w:t>
      </w:r>
    </w:p>
    <w:p w:rsidR="00EC3D70" w:rsidRDefault="00EC3D70">
      <w:pPr>
        <w:pStyle w:val="Standard"/>
        <w:ind w:firstLine="54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2.8.1. Основаниями для отказа в приеме к рассмотрению ходатайства являются:</w:t>
      </w:r>
    </w:p>
    <w:p w:rsidR="00EC3D70" w:rsidRDefault="00174159">
      <w:pPr>
        <w:pStyle w:val="ConsPlusNormal"/>
        <w:widowControl/>
        <w:ind w:firstLine="709"/>
        <w:jc w:val="both"/>
        <w:outlineLvl w:val="0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lastRenderedPageBreak/>
        <w:t xml:space="preserve">1) выявление несоблюдения установленных </w:t>
      </w:r>
      <w:hyperlink r:id="rId17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статьей 11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Закона № 63-ФЗ «Об электронной подписи» условий признания действительности квалифицированной электронной подписи (в случае направления ходатайства и прилагаемых документов в электронной форме);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2) с ходатай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ством обратилось ненадлежащее лицо;</w:t>
      </w:r>
    </w:p>
    <w:p w:rsidR="00EC3D70" w:rsidRDefault="00174159">
      <w:pPr>
        <w:pStyle w:val="ConsPlusNormal"/>
        <w:widowControl/>
        <w:ind w:firstLine="709"/>
        <w:jc w:val="both"/>
        <w:outlineLvl w:val="0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3) к ходатайству приложены документы, состав, форма или содержание которых не соответствуют требованиям земельного законодательства, а также не приложены документы, установленные </w:t>
      </w:r>
      <w:hyperlink r:id="rId18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пунктом 2.6.1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ад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министративного регламента;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4) отсутствие у Уполномоченного органа полномочий по переводу земельного участка из одной категории в другую.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2.8.2. Оснований для приостановления предоставления муниципальной услуги не имеется.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2.8.3. Основаниями для отказа в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предоставлении муниципальной услуги являются: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2) наличие отрицательного заключения государственной эко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логической экспертизы в случае, если ее проведение предусмотрено федеральными законами;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3)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территории, землеустроительной документации.</w:t>
      </w:r>
    </w:p>
    <w:p w:rsidR="00EC3D70" w:rsidRDefault="00174159">
      <w:pPr>
        <w:pStyle w:val="ConsPlusNormal"/>
        <w:widowControl/>
        <w:ind w:firstLine="709"/>
        <w:jc w:val="both"/>
        <w:outlineLvl w:val="0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bookmarkStart w:id="2" w:name="sub_3916125"/>
      <w:bookmarkEnd w:id="2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Решение об отказе должно быть обоснованным и содержать все основания отказа.</w:t>
      </w:r>
    </w:p>
    <w:p w:rsidR="00EC3D70" w:rsidRDefault="00EC3D70">
      <w:pPr>
        <w:pStyle w:val="30"/>
        <w:ind w:firstLine="0"/>
        <w:jc w:val="center"/>
        <w:rPr>
          <w:rFonts w:ascii="Liberation Serif" w:eastAsia="Calibri" w:hAnsi="Liberation Serif"/>
          <w:w w:val="100"/>
          <w:kern w:val="0"/>
          <w:sz w:val="26"/>
          <w:szCs w:val="26"/>
        </w:rPr>
      </w:pPr>
    </w:p>
    <w:p w:rsidR="00EC3D70" w:rsidRDefault="00174159">
      <w:pPr>
        <w:pStyle w:val="30"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</w:rPr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t>2.9. Перечень услуг, которые являются необходимыми и обязательными для предоставления муниципальной услуги, в том числе сведения о до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t>кументе (документах), выдаваемом (выдаваемых) организациями, участвующими в предоставлении муници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softHyphen/>
        <w:t>пальной услуги</w:t>
      </w:r>
    </w:p>
    <w:p w:rsidR="00EC3D70" w:rsidRDefault="00EC3D70">
      <w:pPr>
        <w:pStyle w:val="30"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</w:rPr>
      </w:pPr>
    </w:p>
    <w:p w:rsidR="00EC3D70" w:rsidRDefault="00174159">
      <w:pPr>
        <w:pStyle w:val="30"/>
        <w:ind w:firstLine="720"/>
        <w:rPr>
          <w:rFonts w:ascii="Liberation Serif" w:eastAsia="Calibri" w:hAnsi="Liberation Serif"/>
          <w:w w:val="100"/>
          <w:kern w:val="0"/>
          <w:sz w:val="26"/>
          <w:szCs w:val="26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EC3D70" w:rsidRDefault="00EC3D70">
      <w:pPr>
        <w:pStyle w:val="4"/>
        <w:spacing w:before="0" w:after="0"/>
        <w:ind w:left="5664" w:firstLine="540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54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2.10. Размер платы, взимаемой с зая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ской Федерации, нормативными правовыми актами области, мун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иципальными правовы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актами</w:t>
      </w:r>
    </w:p>
    <w:p w:rsidR="00EC3D70" w:rsidRDefault="00EC3D70">
      <w:pPr>
        <w:pStyle w:val="Standard"/>
        <w:ind w:firstLine="54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Предоставление муниципальной услуги осуществляется для заявителей на безвоз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мездной основе.</w:t>
      </w:r>
    </w:p>
    <w:p w:rsidR="00EC3D70" w:rsidRDefault="00EC3D70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2.11. Максимальный срок ожидания в очереди при подаче запроса о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нии муниципальной услуги и при получении результата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предоставленной муниципаль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ной услуги</w:t>
      </w:r>
    </w:p>
    <w:p w:rsidR="00EC3D70" w:rsidRDefault="00174159">
      <w:pPr>
        <w:pStyle w:val="Standard"/>
        <w:widowControl w:val="0"/>
        <w:ind w:firstLine="709"/>
        <w:jc w:val="both"/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</w:t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  <w:t>предоставляющий му</w:t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  <w:lastRenderedPageBreak/>
        <w:t>ниципальные услуги, или многофункциональный центр не должен превышать 15 минут.</w:t>
      </w:r>
    </w:p>
    <w:p w:rsidR="00EC3D70" w:rsidRDefault="00EC3D70">
      <w:pPr>
        <w:pStyle w:val="4"/>
        <w:spacing w:before="0" w:after="0"/>
        <w:jc w:val="center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2.12. Срок регистрации запроса заявителя</w:t>
      </w:r>
    </w:p>
    <w:p w:rsidR="00EC3D70" w:rsidRDefault="00174159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о предоставлении муниципальной услуги, в том числе в электронной форме</w:t>
      </w:r>
    </w:p>
    <w:p w:rsidR="00EC3D70" w:rsidRDefault="00EC3D70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autoSpaceDE w:val="0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Регистрация ходатайства, в том числе в элект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 случае если заявитель направил заявление о предоставлении муниципаль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Проверка усиленной неквалифицированной и усиленной квалифи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ого удостоверяющего центра.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C3D70" w:rsidRDefault="00EC3D70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2.13. Требования к помещениям, в которых предоставляется муниципальная услуга, к залу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C3D70" w:rsidRDefault="00EC3D70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2.13.1. Центральный вход в здание Уполномоченного органа, в котором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ставляется муниципальная услуга, оборудуется вывеской, 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одержащей информацию о наименовании и режиме работы Уполномоченного органа.</w:t>
      </w:r>
    </w:p>
    <w:p w:rsidR="00EC3D70" w:rsidRDefault="00174159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Вход в здание, в котором предоставляется муниципальная услуга, оборудуется в соот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ветствии с требованиями, обеспечивающими возможность беспрепятственного входа инвалидов в здание 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выхода из него (пандус, поручни).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2.13.2. Гражданам, относящимся к категории инвалидов, включая инвалидов, ис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пользующих кресла-коляски и собак-проводников, обеспечиваются:</w:t>
      </w:r>
    </w:p>
    <w:p w:rsidR="00EC3D70" w:rsidRDefault="00174159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возможность самостоятельного передвижения по зданию, в котором предоставляется мун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иципальная услуга, в целях доступа к месту предоставления услуги, в том числе с помощью сотрудников Уполномоченного органа;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числе с использованием кре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сла-коляски и при необходимости с помощью сотрудников Уполномоченного органа;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сопровождение инвалидов, имеющих стойкие нарушения функций зрения и само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стоятельного передвижения, по территории здания, в котором предоставляется му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ници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пальная услуга;</w:t>
      </w:r>
    </w:p>
    <w:p w:rsidR="00EC3D70" w:rsidRDefault="00174159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ственного транспорта;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надлежащее размещение носителей информации, необходимой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писей, знаков и иной текстовой и графической информации знаками, выполненными 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льефно-точечным шрифтом Брайля и на контрастном фоне;</w:t>
      </w:r>
    </w:p>
    <w:p w:rsidR="00EC3D70" w:rsidRDefault="00174159">
      <w:pPr>
        <w:pStyle w:val="Standard"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подтверждающего ее специальное обуче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ние, выданного по форме и в порядке, утвержденным </w:t>
      </w:r>
      <w:hyperlink r:id="rId19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приказом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Министерства труда и со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циаль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ной защиты Российской Федерации от 22 июня 2015 года № 386н;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оказание помощи, необходимой для получения в доступной для них форме 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формации о правилах предоставления муниципальной услуги, в том числе об оформле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необходимых для получения муниципальной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услуги документов и совершении ими других необходимых для получения муниципальной услуги действий;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обеспечение при необходимости допуска в здание, в котором предоставляется му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ниципальная услуга, сурдопереводчика, тифлосурдопереводчика;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оказание сотрудник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ами Уполномоченного органа, предоставляющими муници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пальную услугу, иной необходимой инвалидам помощи в преодолении барьеров, мешаю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щих получению ими услуг наравне с другими лицами.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2.13.3. На территории, прилегающей к зданию, в котором предоставляется мун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2.13.4. Помещения, предназначенные для предоставления муниц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ипальной услуги, должны соответствовать санитарно-эпидемиологическим правилам и нормативам.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2.13.5. Места ожидания и приема заявит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елей должны быть удобными, оборудова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 столами, стульями, обеспечены бланками заявлений, образцами их заполнения, кан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целярскими принадлежностями.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Места информирования, предназначенные для ознакомления заинтересованных лиц с информационными материалами, 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борудуются информационными стендами, 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глядной информацией, перечнем документов, необходимых для предоставления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ципальной услуги, а также текстом административного регламента.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Административный регламент, муниципальный правовой акт о его утверждении 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олжны быть доступны для ознакомления на бумажных носителях.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Кабинеты, в которых осуществляется прием заявителей, оборудуются информа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ционными табличками (вывесками) с указанием номера кабинета, наименования Упол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номоченного органа (структурного подразделен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ия при наличии). Таблички на дверях ка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бинетов или на стенах должны быть видны посетителям.</w:t>
      </w:r>
    </w:p>
    <w:p w:rsidR="00EC3D70" w:rsidRDefault="00EC3D70">
      <w:pPr>
        <w:pStyle w:val="4"/>
        <w:spacing w:before="0" w:after="0"/>
        <w:jc w:val="both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4"/>
        <w:spacing w:before="0" w:after="0"/>
        <w:jc w:val="center"/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2.14. Показатели доступности и качества муниципальной услуги</w:t>
      </w:r>
    </w:p>
    <w:p w:rsidR="00EC3D70" w:rsidRDefault="00EC3D70">
      <w:pPr>
        <w:pStyle w:val="Standard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2.14.1. Показателями доступности муниципальной услуги являются: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информирование заявителей 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предоставлении муниципальной услуги;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территорий, прилегающих к месторасположению Уполномоченно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го органа, его структурных подразделений (при наличии), местами парковки авто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транспортных средств, в том числе для лиц с ограниченными возможностям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соблюдение графика работы Уполномоченного органа;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мест ожидания и мест приема заявителей в Уполномоченном орга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не стульями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, столами, обеспечение канцелярскими принадлежностями для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возможности оформления документов;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время, затраченное на получение конечного результата муниципальной услуги.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2.14.2. Показателями качества муниципальной услуги являются: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количество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взаимодействий заявителя с должностными лицами при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муниципальной услуги и их продолжительность.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EC3D70" w:rsidRDefault="00174159">
      <w:pPr>
        <w:pStyle w:val="4"/>
        <w:spacing w:before="0" w:after="0"/>
        <w:ind w:firstLine="709"/>
        <w:jc w:val="both"/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количество обосн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ованных жалоб заявителей о несоблюдении порядка вы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softHyphen/>
        <w:t>полнения административных процедур, сроков регистрации запроса и предостав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softHyphen/>
        <w:t>ления муниципальной услуги, об отказе в исправлении допущенных опечаток и ошибок в выданных в результате предоставления муниципаль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ной услуги доку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softHyphen/>
        <w:t>ментах либо о нарушении срока таких исправлений, а также в случае затребова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softHyphen/>
        <w:t>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2.14.3. Заявителям обеспечивается возмо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EC3D70" w:rsidRDefault="00EC3D70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2.15. Перечень классов средств электронной подписи, которые</w:t>
      </w: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допускаются к использованию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 обращении за получением</w:t>
      </w: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муниципальной услуги, оказываемой с применением</w:t>
      </w:r>
    </w:p>
    <w:p w:rsidR="00EC3D70" w:rsidRDefault="00174159">
      <w:pPr>
        <w:pStyle w:val="Standard"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усиленной квалифицированной электронной подписи</w:t>
      </w:r>
    </w:p>
    <w:p w:rsidR="00EC3D70" w:rsidRDefault="00EC3D70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С учетом </w:t>
      </w:r>
      <w:hyperlink r:id="rId20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Требований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4"/>
        <w:spacing w:before="0" w:after="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III. Состав, последовательность и сроки выполнения</w:t>
      </w:r>
    </w:p>
    <w:p w:rsidR="00EC3D70" w:rsidRDefault="00174159">
      <w:pPr>
        <w:pStyle w:val="4"/>
        <w:spacing w:before="0" w:after="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административных процедур (действий)</w:t>
      </w:r>
    </w:p>
    <w:p w:rsidR="00EC3D70" w:rsidRDefault="00EC3D70">
      <w:pPr>
        <w:pStyle w:val="22"/>
        <w:ind w:firstLine="540"/>
        <w:rPr>
          <w:rFonts w:ascii="Liberation Serif" w:eastAsia="Calibri" w:hAnsi="Liberation Serif"/>
          <w:w w:val="100"/>
          <w:kern w:val="0"/>
          <w:sz w:val="26"/>
          <w:szCs w:val="26"/>
        </w:rPr>
      </w:pPr>
    </w:p>
    <w:p w:rsidR="00EC3D70" w:rsidRDefault="00174159">
      <w:pPr>
        <w:pStyle w:val="Standard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3.1. Исчерпывающий перечень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административных процедур</w:t>
      </w:r>
    </w:p>
    <w:p w:rsidR="00EC3D70" w:rsidRDefault="00EC3D70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3.1.1. Предоставление муниципальной услуги включает в себя следующие адми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нистративные процедуры:</w:t>
      </w:r>
    </w:p>
    <w:p w:rsidR="00EC3D70" w:rsidRDefault="00174159">
      <w:pPr>
        <w:pStyle w:val="Standard"/>
        <w:tabs>
          <w:tab w:val="left" w:pos="851"/>
        </w:tabs>
        <w:ind w:firstLine="720"/>
        <w:jc w:val="both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прием и регистрация ходатайства о предоставлении муниципальной услуги;</w:t>
      </w:r>
    </w:p>
    <w:p w:rsidR="00EC3D70" w:rsidRDefault="00174159">
      <w:pPr>
        <w:pStyle w:val="Standard"/>
        <w:tabs>
          <w:tab w:val="left" w:pos="851"/>
          <w:tab w:val="left" w:pos="993"/>
        </w:tabs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рассмотрение ходатайства и представленных документов;</w:t>
      </w:r>
    </w:p>
    <w:p w:rsidR="00EC3D70" w:rsidRDefault="00174159">
      <w:pPr>
        <w:pStyle w:val="Standard"/>
        <w:tabs>
          <w:tab w:val="left" w:pos="851"/>
          <w:tab w:val="left" w:pos="993"/>
        </w:tabs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подготовка и выдача (направление) заявителю (заявителям) решения о переводе земельного участка из одной категории в другую или решения об отказе в переводе зе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мельного участка из одной категории в другую (с сопроводительным письмом).</w:t>
      </w:r>
    </w:p>
    <w:p w:rsidR="00EC3D70" w:rsidRDefault="00EC3D70">
      <w:pPr>
        <w:pStyle w:val="Standard"/>
        <w:widowControl w:val="0"/>
        <w:ind w:right="-2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widowControl w:val="0"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3.2.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Прием и регистра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ция ходатайства о предоставлении муниципальной услуги</w:t>
      </w:r>
    </w:p>
    <w:p w:rsidR="00EC3D70" w:rsidRDefault="00EC3D70">
      <w:pPr>
        <w:pStyle w:val="Standard"/>
        <w:widowControl w:val="0"/>
        <w:ind w:right="-2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right="-2"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хода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тайства и прилагаемых документов.</w:t>
      </w:r>
    </w:p>
    <w:p w:rsidR="00EC3D70" w:rsidRDefault="00174159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3.2.2. Должностное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лицо Уполномоченного органа, ответственное за прием и регистрацию заявления в день поступления ходатайства (при поступ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лении в электронном виде в нерабочее время – в ближайший рабочий день, следующий за днем поступления указанных документов):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осуществляет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регистрацию заявления и прилагаемых документов в журнале реги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страции входящих обращений;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личного обращения заявителя в Уполномоченный орган или в МФЦ вы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дает расписку в получении представленных документов с указанием их перечня (в слу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чае предста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вления документов через МФЦ расписка выдается МФЦ).</w:t>
      </w:r>
    </w:p>
    <w:p w:rsidR="00EC3D70" w:rsidRDefault="00174159">
      <w:pPr>
        <w:pStyle w:val="Standard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3.2.3. После регистрации ходатайства и прилагаемые к нему документы направ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ляются для рассмотрения должностному лицу Уполномоченного органа, ответственно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му за предоставление муниципальной услуги (далее –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должностное лицо, ответственное за предоставление муниципальной услуги).</w:t>
      </w:r>
    </w:p>
    <w:p w:rsidR="00EC3D70" w:rsidRDefault="00174159">
      <w:pPr>
        <w:pStyle w:val="ConsPlusNormal"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21" w:history="1">
        <w:r>
          <w:rPr>
            <w:rStyle w:val="Internetlink"/>
          </w:rPr>
          <w:t>х</w:t>
        </w:r>
      </w:hyperlink>
      <w:r>
        <w:rPr>
          <w:rStyle w:val="Internetlink"/>
          <w:rFonts w:ascii="Liberation Serif" w:eastAsia="Calibri" w:hAnsi="Liberation Serif" w:cs="Times New Roman"/>
          <w:color w:val="000000"/>
          <w:kern w:val="0"/>
          <w:sz w:val="26"/>
          <w:szCs w:val="26"/>
          <w:lang w:eastAsia="ru-RU"/>
        </w:rPr>
        <w:t>одатайства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EC3D70" w:rsidRDefault="00174159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3.2.5. Результатом выполнения данной админи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стративной процедуры является получение должностным лицом, ответственным за предоставление муниципальной услуги ходатайства и прилагаемых документов на рассмотрение.</w:t>
      </w:r>
    </w:p>
    <w:p w:rsidR="00EC3D70" w:rsidRDefault="00EC3D70">
      <w:pPr>
        <w:pStyle w:val="Standard"/>
        <w:ind w:firstLine="720"/>
        <w:jc w:val="both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widowControl w:val="0"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3.3. Рассмотрение ходатайства и представленных документов</w:t>
      </w:r>
    </w:p>
    <w:p w:rsidR="00EC3D70" w:rsidRDefault="00EC3D70">
      <w:pPr>
        <w:pStyle w:val="Standard"/>
        <w:widowControl w:val="0"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 xml:space="preserve">3.3.1. Основанием для начала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административной процедуры является получение специалистом, ответственным за предоставление муниципальной услуги, ходатайства и прилагаемых к нему документов.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3.3.2. Специалист, ответственный за предоставление муниципальной услуги, в течение 2 календарных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дней со дня регистрации заявления рассматривает представлен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ные документы, проверяет их на соответствие требованиям земельного законодатель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ства.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3.3.3. В случае выявления оснований для возврата заявления, Уполномоченный ор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ган в течение 10 дней со дня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поступления ходатайства   возвращает заявление заявите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лю.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ab/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В течение 3 дней подготовл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енное уведомление подписывается руководителем Уполномоченного органа.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Специалист, ответственный за регистрацию корреспонденции, регистрирует уве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домление о возврате и в течение 1 календарного дня со дня регистрации, направляет заявителю почтовым отправлен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ием по адресу, указанному в заявлении.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3.3.4. В случае отсутствия оснований для возврата ходатайства, специалист,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ственный за предоставление муниципальной услуги, рассматривает документы на 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личие или отсутствие оснований для отказа в предоставлен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ии муниципальной услуги, указанных в пункте 2.9.3 настоящего административного регламента, в течение 10 ка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лендарных дней с даты получения ходатайства, а также осуществляет формирование запросов в федеральный орган исполнительной власти, уполномоченный осу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ществление государственной регистрации юридических лиц и индивидуальных предпринимателей о предоставлении сведений из ЕГРЮЛ или ЕГРИП, о предоставлении сведений из Едино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го государственного реестра недвижимости.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3.3.5. В случае соответствия представленных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документов установленным требова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ниям, специалист, ответственный за предоставление муниципальной услуги, осуще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ствляет одно из следующих действий: решения о переводе земельного участка из одной категории в другую с сопроводительным письмом за подписью рук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оводителя Уполно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моченного органа ;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об отказе в переводе земельного участка из одн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ой категории в другую с сопроводительным письмом за подписью руководителя Уполномоченного органа.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3.3.7. Специалист, ответственный за предоставление муниципальной услуги, в день получения документов, подписанных руководителем Уполномоченного органа, осуще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ствляет одно из следующих действий: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регистрирует проект решения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Уполномоченного органа  о переводе зе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мельного участка из одной категории в другую или  об отказе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в переводе земельного участка из одной категории  с сопроводительным письмом.</w:t>
      </w:r>
    </w:p>
    <w:p w:rsidR="00EC3D70" w:rsidRDefault="00EC3D70">
      <w:pPr>
        <w:pStyle w:val="Standard"/>
        <w:widowControl w:val="0"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tabs>
          <w:tab w:val="left" w:pos="851"/>
          <w:tab w:val="left" w:pos="993"/>
        </w:tabs>
        <w:ind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3.4. Подготовка и выдача (направление) заявителю (заявителям) решения о пере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воде земельного участка из одной категории в другую или решения об отказе в переводе земельного уча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стка из одной категории в другую (с сопроводительным письмом)</w:t>
      </w:r>
    </w:p>
    <w:p w:rsidR="00EC3D70" w:rsidRDefault="00EC3D70">
      <w:pPr>
        <w:pStyle w:val="Standard"/>
        <w:tabs>
          <w:tab w:val="left" w:pos="851"/>
          <w:tab w:val="left" w:pos="993"/>
        </w:tabs>
        <w:ind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3.4.1. Специалист, ответственный за направление корреспонденции, не позднее сле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дующего рабочего дня с даты получения документов, являющихся результатом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ставления муниципальной услуги, 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аправляет их заявителю способом, указанным в заявлении: почтовым отправлением с уведомлением, через МФЦ (в случае если заявле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ние было подано через МФЦ), лично.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В случае если способ направления не указан направление результатов предостав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ления муниципаль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ной услуги осуществляется почтовым отправлением.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ab/>
        <w:t>3.4.2. Максимальный срок исполнения данной административной проце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дуры со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ставляет не более 3 календарных дней.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3.4.3. Результатом административной процедуры является передача, направление заявителю: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решение о переводе земельного участка из одной категории в другую с сопроводи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тельным письмом за подписью руководителя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Уполномоченного органа</w:t>
      </w:r>
    </w:p>
    <w:p w:rsidR="00EC3D70" w:rsidRDefault="00174159">
      <w:pPr>
        <w:pStyle w:val="Standard"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решение об отказе в переводе земельного участка из одной категории в другую с сопроводительным письмом за подписью руководителя Уполномоченного органа</w:t>
      </w:r>
    </w:p>
    <w:p w:rsidR="00EC3D70" w:rsidRDefault="00EC3D70">
      <w:pPr>
        <w:pStyle w:val="ConsPlusNormal"/>
        <w:ind w:firstLine="709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ectPr w:rsidR="00EC3D70">
          <w:pgSz w:w="11906" w:h="16838"/>
          <w:pgMar w:top="1134" w:right="567" w:bottom="1134" w:left="1701" w:header="720" w:footer="720" w:gutter="0"/>
          <w:cols w:space="720"/>
        </w:sectPr>
      </w:pPr>
    </w:p>
    <w:p w:rsidR="00EC3D70" w:rsidRDefault="00174159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lastRenderedPageBreak/>
        <w:t>Приложение 1</w:t>
      </w:r>
    </w:p>
    <w:p w:rsidR="00EC3D70" w:rsidRDefault="00174159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t>к администра</w:t>
      </w: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softHyphen/>
        <w:t>тивному регламенту</w:t>
      </w:r>
    </w:p>
    <w:p w:rsidR="00EC3D70" w:rsidRDefault="00EC3D70">
      <w:pPr>
        <w:pStyle w:val="Standard"/>
        <w:ind w:left="5103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tbl>
      <w:tblPr>
        <w:tblW w:w="4767" w:type="dxa"/>
        <w:tblInd w:w="5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3748"/>
      </w:tblGrid>
      <w:tr w:rsidR="00EC3D70">
        <w:tblPrEx>
          <w:tblCellMar>
            <w:top w:w="0" w:type="dxa"/>
            <w:bottom w:w="0" w:type="dxa"/>
          </w:tblCellMar>
        </w:tblPrEx>
        <w:tc>
          <w:tcPr>
            <w:tcW w:w="1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  <w:t>Кому:</w:t>
            </w:r>
          </w:p>
        </w:tc>
        <w:tc>
          <w:tcPr>
            <w:tcW w:w="3748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Уполномоченный орган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1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1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1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(для юридического лица указыва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ется фирменное наименование, для физического лица указываются фа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милия, имя, отчество заявителя; для лица, действующего по</w:t>
            </w:r>
          </w:p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доверенности, - фамилия, имя,</w:t>
            </w:r>
          </w:p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отчество лица, действующего на</w:t>
            </w:r>
          </w:p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основании доверенности)</w:t>
            </w:r>
          </w:p>
        </w:tc>
      </w:tr>
    </w:tbl>
    <w:p w:rsidR="00EC3D70" w:rsidRDefault="00EC3D70">
      <w:pPr>
        <w:pStyle w:val="Standard"/>
        <w:ind w:left="5103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 xml:space="preserve">Ходатайство </w:t>
      </w: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 xml:space="preserve">   </w:t>
      </w:r>
    </w:p>
    <w:p w:rsidR="00EC3D70" w:rsidRDefault="00174159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>о переводе земельного участка из одной категории в другую</w:t>
      </w:r>
    </w:p>
    <w:p w:rsidR="00EC3D70" w:rsidRDefault="00EC3D70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</w:p>
    <w:tbl>
      <w:tblPr>
        <w:tblW w:w="99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4575"/>
      </w:tblGrid>
      <w:tr w:rsidR="00EC3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ind w:left="-57" w:firstLine="680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заявителе (физи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ческое лицо)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ConsPlusNormal"/>
              <w:ind w:left="5102" w:hanging="5046"/>
              <w:jc w:val="both"/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  <w:t>ИНН - для гражданина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ind w:firstLine="680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заявителе (юри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дическое лицо)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Normal0"/>
              <w:snapToGrid/>
              <w:jc w:val="both"/>
              <w:rPr>
                <w:rFonts w:ascii="Liberation Serif" w:hAnsi="Liberation Serif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kern w:val="0"/>
                <w:sz w:val="26"/>
                <w:szCs w:val="26"/>
                <w:lang w:eastAsia="ru-RU"/>
              </w:rPr>
              <w:t>Полное и сокращенное наименование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Фамилия, имя, отчество представителя органи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зации, уполномоченного действовать без дове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ренности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Для лица, действующего на основании документа, подтверждающего полномочия действовать от имени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заявителя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ConsPlusNormal"/>
              <w:ind w:left="5329" w:hanging="5102"/>
              <w:jc w:val="both"/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  <w:lastRenderedPageBreak/>
              <w:t>Фамилия, имя, отчество (при наличии) лица, действующего от имени физического или юридическог</w:t>
            </w:r>
            <w:r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  <w:lastRenderedPageBreak/>
              <w:t>о лица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Данные документа, подтверждающего полно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мочия лица действовать от имени физического или юридического лица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Адрес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электронной 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Адресные ориентиры земель или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Площадь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Категория земель, в которую необходимо осу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 xml:space="preserve">ществить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перевод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Обоснование перевода земельного участка из состава земель одной категории в другую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EC3D70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174159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EC3D70" w:rsidRDefault="00EC3D70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EC3D70" w:rsidRDefault="00174159">
      <w:pPr>
        <w:pStyle w:val="Standard"/>
        <w:ind w:firstLine="68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Прошу осуществить перевод земельного участка из одной категории земель в другую.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Приложения: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1.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_______________________________________________________________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 _______________________________________________________________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 _______________________________________________________________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4. _______________________________________________________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________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5. _______________________________________________________________</w:t>
      </w:r>
    </w:p>
    <w:p w:rsidR="00EC3D70" w:rsidRDefault="00EC3D70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Способ выдачи документов (нужное отметить):</w:t>
      </w:r>
    </w:p>
    <w:p w:rsidR="00EC3D70" w:rsidRDefault="00174159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лично      ⁯  направление посредством почтового отправления с уведомлением</w:t>
      </w:r>
    </w:p>
    <w:p w:rsidR="00EC3D70" w:rsidRDefault="00174159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в МФЦ**     ⁯  в личном кабинете на Региональном порт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але*</w:t>
      </w:r>
    </w:p>
    <w:p w:rsidR="00EC3D70" w:rsidRDefault="00174159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по электронной почте.   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* в случае если ходатайство подано посредством Регионального портала.</w:t>
      </w:r>
    </w:p>
    <w:p w:rsidR="00EC3D70" w:rsidRDefault="00174159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** в случае если ходатайство подано через МФЦ.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«____»_______________20____г.                                ____________________</w:t>
      </w:r>
    </w:p>
    <w:p w:rsidR="00EC3D70" w:rsidRDefault="00174159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(подпись)  М.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П.</w:t>
      </w:r>
    </w:p>
    <w:p w:rsidR="00EC3D70" w:rsidRDefault="00174159">
      <w:pPr>
        <w:pStyle w:val="6"/>
        <w:pageBreakBefore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lastRenderedPageBreak/>
        <w:t>Приложение 2</w:t>
      </w:r>
    </w:p>
    <w:p w:rsidR="00EC3D70" w:rsidRDefault="00174159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t>к администра</w:t>
      </w: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softHyphen/>
        <w:t>тивному регламенту</w:t>
      </w:r>
    </w:p>
    <w:p w:rsidR="00EC3D70" w:rsidRDefault="00EC3D70">
      <w:pPr>
        <w:pStyle w:val="6"/>
        <w:ind w:left="4820"/>
        <w:jc w:val="left"/>
        <w:rPr>
          <w:rFonts w:ascii="Liberation Serif" w:eastAsia="Calibri" w:hAnsi="Liberation Serif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tabs>
          <w:tab w:val="left" w:pos="708"/>
        </w:tabs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нах, адресах электронной почты, графике работы и адресах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официальных сайтов в сети «Интернет»</w:t>
      </w:r>
    </w:p>
    <w:p w:rsidR="00EC3D70" w:rsidRDefault="00EC3D70">
      <w:pPr>
        <w:pStyle w:val="Standard"/>
        <w:tabs>
          <w:tab w:val="left" w:pos="708"/>
        </w:tabs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EC3D70" w:rsidRDefault="00174159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Местонахождение МФЦ Грязовецкого района: Вологодская область, г.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Грязовец, ул.Беляева, 15.</w:t>
      </w:r>
    </w:p>
    <w:p w:rsidR="00EC3D70" w:rsidRDefault="00174159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Для получения информации по вопросам оказания услуг обращаться по телефону: (81755)20274, факс (81755)20275.</w:t>
      </w:r>
    </w:p>
    <w:p w:rsidR="00EC3D70" w:rsidRDefault="00174159">
      <w:pPr>
        <w:pStyle w:val="Standard"/>
        <w:tabs>
          <w:tab w:val="left" w:pos="708"/>
        </w:tabs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 xml:space="preserve">Адрес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электронной почты: </w:t>
      </w:r>
      <w:hyperlink r:id="rId22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grmfc@yandex.ru</w:t>
        </w:r>
      </w:hyperlink>
    </w:p>
    <w:p w:rsidR="00EC3D70" w:rsidRDefault="00174159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График работы МФЦ:</w:t>
      </w:r>
    </w:p>
    <w:tbl>
      <w:tblPr>
        <w:tblW w:w="998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3"/>
        <w:gridCol w:w="5000"/>
      </w:tblGrid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EC3D70" w:rsidRDefault="00174159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EC3D70" w:rsidRDefault="00174159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20.00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EC3D70" w:rsidRDefault="00174159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9.00 до 12.00</w:t>
            </w:r>
          </w:p>
        </w:tc>
      </w:tr>
      <w:tr w:rsidR="00EC3D7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EC3D70" w:rsidRDefault="00174159">
            <w:pPr>
              <w:pStyle w:val="Standard"/>
              <w:widowControl w:val="0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EC3D70" w:rsidRDefault="00EC3D70">
      <w:pPr>
        <w:pStyle w:val="Standard"/>
        <w:jc w:val="center"/>
        <w:rPr>
          <w:rFonts w:ascii="Liberation Serif" w:eastAsia="Calibri" w:hAnsi="Liberation Serif"/>
          <w:b/>
          <w:w w:val="100"/>
          <w:kern w:val="0"/>
          <w:sz w:val="26"/>
          <w:szCs w:val="26"/>
          <w:lang w:eastAsia="ru-RU"/>
        </w:rPr>
      </w:pPr>
    </w:p>
    <w:sectPr w:rsidR="00EC3D70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159">
      <w:r>
        <w:separator/>
      </w:r>
    </w:p>
  </w:endnote>
  <w:endnote w:type="continuationSeparator" w:id="0">
    <w:p w:rsidR="00000000" w:rsidRDefault="001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159">
      <w:r>
        <w:rPr>
          <w:color w:val="000000"/>
        </w:rPr>
        <w:separator/>
      </w:r>
    </w:p>
  </w:footnote>
  <w:footnote w:type="continuationSeparator" w:id="0">
    <w:p w:rsidR="00000000" w:rsidRDefault="0017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E501A"/>
    <w:multiLevelType w:val="multilevel"/>
    <w:tmpl w:val="9B56B96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B3B1FED"/>
    <w:multiLevelType w:val="multilevel"/>
    <w:tmpl w:val="EA545EA8"/>
    <w:styleLink w:val="WWNum2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3D70"/>
    <w:rsid w:val="00174159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4C464B-3CF5-4B5C-986A-561596B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eastAsia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eastAsia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eastAsia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eastAsia="Tahoma" w:hAnsi="Tahoma" w:cs="Tahoma"/>
      <w:sz w:val="20"/>
      <w:szCs w:val="20"/>
    </w:rPr>
  </w:style>
  <w:style w:type="paragraph" w:customStyle="1" w:styleId="ConsPlusTitle">
    <w:name w:val="ConsPlusTitle"/>
    <w:pPr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eastAsia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jc w:val="both"/>
    </w:pPr>
    <w:rPr>
      <w:rFonts w:eastAsia="MS Mincho"/>
      <w:lang w:eastAsia="ru-RU"/>
    </w:rPr>
  </w:style>
  <w:style w:type="paragraph" w:styleId="ac">
    <w:name w:val="Normal (Web)"/>
    <w:basedOn w:val="Standard"/>
    <w:pPr>
      <w:spacing w:before="100" w:after="100"/>
    </w:pPr>
    <w:rPr>
      <w:szCs w:val="20"/>
    </w:rPr>
  </w:style>
  <w:style w:type="paragraph" w:styleId="ad">
    <w:name w:val="footnote text"/>
    <w:basedOn w:val="Standard"/>
    <w:rPr>
      <w:sz w:val="20"/>
      <w:szCs w:val="20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  <w:lang w:eastAsia="ru-RU"/>
    </w:rPr>
  </w:style>
  <w:style w:type="paragraph" w:styleId="23">
    <w:name w:val="Body Text Indent 2"/>
    <w:basedOn w:val="Standard"/>
    <w:pPr>
      <w:ind w:left="720"/>
    </w:pPr>
    <w:rPr>
      <w:rFonts w:eastAsia="Calibri"/>
      <w:sz w:val="28"/>
      <w:szCs w:val="28"/>
      <w:lang w:eastAsia="ru-RU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f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4">
    <w:name w:val="Основной текст с отступом 2 Знак"/>
    <w:rPr>
      <w:rFonts w:ascii="Bookman Old Style" w:eastAsia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af0">
    <w:name w:val="Знак"/>
    <w:rPr>
      <w:rFonts w:cs="Times New Roman"/>
      <w:sz w:val="16"/>
      <w:szCs w:val="16"/>
      <w:lang w:val="ru-RU"/>
    </w:rPr>
  </w:style>
  <w:style w:type="character" w:customStyle="1" w:styleId="af1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2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af3">
    <w:name w:val="Название Знак"/>
    <w:rPr>
      <w:b/>
      <w:bCs/>
      <w:w w:val="90"/>
      <w:sz w:val="24"/>
      <w:szCs w:val="24"/>
    </w:rPr>
  </w:style>
  <w:style w:type="character" w:customStyle="1" w:styleId="af4">
    <w:name w:val="Текст выноски Знак"/>
    <w:rPr>
      <w:rFonts w:ascii="Tahoma" w:eastAsia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5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212">
    <w:name w:val="Заголовок 2 Знак1"/>
    <w:rPr>
      <w:rFonts w:ascii="Cambria" w:eastAsia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af6">
    <w:name w:val="Гипертекстовая ссылка"/>
    <w:rPr>
      <w:rFonts w:cs="Times New Roman"/>
      <w:color w:val="106BBE"/>
    </w:rPr>
  </w:style>
  <w:style w:type="character" w:customStyle="1" w:styleId="af7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af8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5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9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a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6">
    <w:name w:val="Основной текст 2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7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b">
    <w:name w:val="Основной текст с отступом Знак"/>
    <w:rPr>
      <w:rFonts w:ascii="Bookman Old Style" w:eastAsia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c">
    <w:name w:val="footnote reference"/>
    <w:rPr>
      <w:rFonts w:cs="Times New Roman"/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#Par135" TargetMode="External"/><Relationship Id="rId3" Type="http://schemas.openxmlformats.org/officeDocument/2006/relationships/settings" Target="settings.xml"/><Relationship Id="rId21" Type="http://schemas.openxmlformats.org/officeDocument/2006/relationships/hyperlink" Target="#Par4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https://login.consultant.ru/link/?req=doc&amp;base=LAW&amp;n=342108&amp;date=22.09.2020&amp;dst=10008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P1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m.ru/" TargetMode="External"/><Relationship Id="rId14" Type="http://schemas.openxmlformats.org/officeDocument/2006/relationships/hyperlink" Target="#Par413" TargetMode="External"/><Relationship Id="rId22" Type="http://schemas.openxmlformats.org/officeDocument/2006/relationships/hyperlink" Target="mailto:grmf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20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Анна Михайловна Веретьева</cp:lastModifiedBy>
  <cp:revision>1</cp:revision>
  <cp:lastPrinted>2023-01-24T09:48:00Z</cp:lastPrinted>
  <dcterms:created xsi:type="dcterms:W3CDTF">2019-12-30T10:49:00Z</dcterms:created>
  <dcterms:modified xsi:type="dcterms:W3CDTF">2025-03-26T05:17:00Z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